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BB3D6">
      <w:pPr>
        <w:spacing w:after="624" w:afterLines="200" w:line="60" w:lineRule="auto"/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质管部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发〔20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〕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023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号         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 签发人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：赖习敏</w:t>
      </w:r>
    </w:p>
    <w:p w14:paraId="1AF93BCE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关于雅安芦山店医保检查处理结果的通报</w:t>
      </w:r>
    </w:p>
    <w:p w14:paraId="52F058EF">
      <w:pPr>
        <w:numPr>
          <w:ilvl w:val="0"/>
          <w:numId w:val="0"/>
        </w:numPr>
        <w:tabs>
          <w:tab w:val="left" w:pos="291"/>
        </w:tabs>
        <w:spacing w:line="360" w:lineRule="auto"/>
        <w:jc w:val="left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各片区、各门店：</w:t>
      </w:r>
    </w:p>
    <w:p w14:paraId="28F0A2FD">
      <w:pPr>
        <w:tabs>
          <w:tab w:val="left" w:pos="291"/>
        </w:tabs>
        <w:spacing w:line="360" w:lineRule="auto"/>
        <w:ind w:firstLine="560" w:firstLineChars="200"/>
        <w:jc w:val="left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因雅安芦山店在2025年6月20日被医保局现场检查，发现门店涉及处方药未凭处方销售。为杜绝公司其他门店再次出现类似事件，质管部将芦山县医保局核查处理结果给予全公司通报学习。</w:t>
      </w:r>
    </w:p>
    <w:p w14:paraId="29C6B830">
      <w:pPr>
        <w:numPr>
          <w:ilvl w:val="0"/>
          <w:numId w:val="1"/>
        </w:numPr>
        <w:tabs>
          <w:tab w:val="left" w:pos="291"/>
        </w:tabs>
        <w:spacing w:line="360" w:lineRule="auto"/>
        <w:ind w:firstLine="560" w:firstLineChars="200"/>
        <w:jc w:val="left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芦山县医保局给予门店的处理结果</w:t>
      </w:r>
    </w:p>
    <w:p w14:paraId="7BCB3BD5">
      <w:pPr>
        <w:numPr>
          <w:ilvl w:val="0"/>
          <w:numId w:val="0"/>
        </w:numPr>
        <w:tabs>
          <w:tab w:val="left" w:pos="291"/>
        </w:tabs>
        <w:spacing w:line="360" w:lineRule="auto"/>
        <w:ind w:firstLine="560" w:firstLineChars="200"/>
        <w:jc w:val="left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违反了</w:t>
      </w:r>
      <w:r>
        <w:rPr>
          <w:rFonts w:hint="eastAsia" w:ascii="宋体" w:hAnsi="宋体" w:cs="宋体"/>
          <w:color w:val="auto"/>
          <w:sz w:val="28"/>
          <w:szCs w:val="28"/>
          <w:highlight w:val="yellow"/>
          <w:lang w:val="en-US" w:eastAsia="zh-CN"/>
        </w:rPr>
        <w:t>《雅安市定点零售药店医疗保障服务协议》（2024年）第十四条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的相关规定，现依据《</w:t>
      </w:r>
      <w:r>
        <w:rPr>
          <w:rFonts w:hint="eastAsia" w:ascii="宋体" w:hAnsi="宋体" w:cs="宋体"/>
          <w:color w:val="auto"/>
          <w:sz w:val="28"/>
          <w:szCs w:val="28"/>
          <w:highlight w:val="yellow"/>
          <w:lang w:val="en-US" w:eastAsia="zh-CN"/>
        </w:rPr>
        <w:t>雅安市定点零售药店医疗保障服务协议》（</w:t>
      </w:r>
      <w:bookmarkStart w:id="0" w:name="_GoBack"/>
      <w:bookmarkEnd w:id="0"/>
      <w:r>
        <w:rPr>
          <w:rFonts w:hint="eastAsia" w:ascii="宋体" w:hAnsi="宋体" w:cs="宋体"/>
          <w:color w:val="auto"/>
          <w:sz w:val="28"/>
          <w:szCs w:val="28"/>
          <w:highlight w:val="yellow"/>
          <w:lang w:val="en-US" w:eastAsia="zh-CN"/>
        </w:rPr>
        <w:t>2024年）第四十四条第十二项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，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给予约谈，追回违规医保基金，并支付违约金，药店负责人记2分。合计232.44元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。</w:t>
      </w:r>
    </w:p>
    <w:p w14:paraId="43DFD19B">
      <w:pPr>
        <w:numPr>
          <w:ilvl w:val="0"/>
          <w:numId w:val="0"/>
        </w:numPr>
        <w:tabs>
          <w:tab w:val="left" w:pos="291"/>
        </w:tabs>
        <w:spacing w:line="360" w:lineRule="auto"/>
        <w:jc w:val="left"/>
      </w:pPr>
      <w:r>
        <w:drawing>
          <wp:inline distT="0" distB="0" distL="114300" distR="114300">
            <wp:extent cx="5989320" cy="2336165"/>
            <wp:effectExtent l="0" t="0" r="11430" b="698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89320" cy="233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04A3E">
      <w:pPr>
        <w:numPr>
          <w:ilvl w:val="0"/>
          <w:numId w:val="0"/>
        </w:numPr>
        <w:tabs>
          <w:tab w:val="left" w:pos="291"/>
        </w:tabs>
        <w:spacing w:line="360" w:lineRule="auto"/>
        <w:jc w:val="left"/>
      </w:pPr>
      <w:r>
        <w:drawing>
          <wp:inline distT="0" distB="0" distL="114300" distR="114300">
            <wp:extent cx="5986780" cy="374015"/>
            <wp:effectExtent l="0" t="0" r="13970" b="698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86780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665AA">
      <w:pPr>
        <w:numPr>
          <w:ilvl w:val="0"/>
          <w:numId w:val="0"/>
        </w:numPr>
        <w:tabs>
          <w:tab w:val="left" w:pos="291"/>
        </w:tabs>
        <w:spacing w:line="360" w:lineRule="auto"/>
        <w:jc w:val="left"/>
      </w:pPr>
      <w:r>
        <w:drawing>
          <wp:inline distT="0" distB="0" distL="114300" distR="114300">
            <wp:extent cx="5986780" cy="2531745"/>
            <wp:effectExtent l="0" t="0" r="13970" b="1905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86780" cy="253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947EE">
      <w:pPr>
        <w:numPr>
          <w:ilvl w:val="0"/>
          <w:numId w:val="0"/>
        </w:numPr>
        <w:tabs>
          <w:tab w:val="left" w:pos="291"/>
        </w:tabs>
        <w:spacing w:line="360" w:lineRule="auto"/>
        <w:jc w:val="left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989320" cy="709930"/>
            <wp:effectExtent l="0" t="0" r="11430" b="1397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8932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BB816">
      <w:pPr>
        <w:numPr>
          <w:ilvl w:val="0"/>
          <w:numId w:val="1"/>
        </w:numPr>
        <w:tabs>
          <w:tab w:val="left" w:pos="291"/>
        </w:tabs>
        <w:spacing w:line="360" w:lineRule="auto"/>
        <w:ind w:firstLine="560" w:firstLineChars="200"/>
        <w:jc w:val="left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公司对门店相关人员的处理</w:t>
      </w:r>
    </w:p>
    <w:p w14:paraId="31E33AED">
      <w:pPr>
        <w:numPr>
          <w:ilvl w:val="0"/>
          <w:numId w:val="0"/>
        </w:numPr>
        <w:tabs>
          <w:tab w:val="left" w:pos="291"/>
        </w:tabs>
        <w:spacing w:line="360" w:lineRule="auto"/>
        <w:ind w:firstLine="560" w:firstLineChars="200"/>
        <w:jc w:val="left"/>
        <w:rPr>
          <w:rFonts w:hint="default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依据川太药连字（2022）47号《医保销售、陈列管理规定》文件要求，门店未严格按照医保协议执行，导致被医保局处理的，其全部金额由门店承担。结合门店实际经营情况，公司将涉及相关责任人员给予上交成长金进行通报。</w:t>
      </w:r>
    </w:p>
    <w:tbl>
      <w:tblPr>
        <w:tblStyle w:val="3"/>
        <w:tblW w:w="87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986"/>
        <w:gridCol w:w="3240"/>
        <w:gridCol w:w="2043"/>
        <w:gridCol w:w="1845"/>
      </w:tblGrid>
      <w:tr w14:paraId="18033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78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39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当事人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16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交成长金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原因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4E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医保处理金额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3D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交成长金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</w:t>
            </w:r>
          </w:p>
        </w:tc>
      </w:tr>
      <w:tr w14:paraId="18518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A2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9F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张莉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2A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处方药未凭处方销售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46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232.44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FF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232.44</w:t>
            </w:r>
          </w:p>
        </w:tc>
      </w:tr>
      <w:tr w14:paraId="54BAE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B6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8A3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合计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AD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2F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EA4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232.44</w:t>
            </w:r>
          </w:p>
        </w:tc>
      </w:tr>
    </w:tbl>
    <w:p w14:paraId="519EE7B2">
      <w:pPr>
        <w:numPr>
          <w:ilvl w:val="0"/>
          <w:numId w:val="0"/>
        </w:numPr>
        <w:tabs>
          <w:tab w:val="left" w:pos="291"/>
        </w:tabs>
        <w:spacing w:line="36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以上</w:t>
      </w:r>
      <w:r>
        <w:rPr>
          <w:rFonts w:hint="eastAsia" w:ascii="宋体" w:hAnsi="宋体" w:cs="宋体"/>
          <w:b w:val="0"/>
          <w:bCs/>
          <w:sz w:val="24"/>
          <w:szCs w:val="24"/>
          <w:highlight w:val="none"/>
          <w:lang w:val="en-US" w:eastAsia="zh-CN"/>
        </w:rPr>
        <w:t>交成长金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一周内交财务部。</w:t>
      </w:r>
    </w:p>
    <w:p w14:paraId="6B1C8B82">
      <w:pPr>
        <w:numPr>
          <w:ilvl w:val="0"/>
          <w:numId w:val="0"/>
        </w:numPr>
        <w:tabs>
          <w:tab w:val="left" w:pos="291"/>
        </w:tabs>
        <w:spacing w:line="360" w:lineRule="auto"/>
        <w:jc w:val="left"/>
        <w:rPr>
          <w:rFonts w:hint="default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</w:pPr>
    </w:p>
    <w:p w14:paraId="52B1AD69"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请各门店店长及店员务必高度重视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引以为戒，加强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eastAsia="zh-CN"/>
        </w:rPr>
        <w:t>店员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医保培训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eastAsia="zh-CN"/>
        </w:rPr>
        <w:t>，严格执行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医保操作规范、自觉遵守医保管理要求，并遵循公司规章制度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eastAsia="zh-CN"/>
        </w:rPr>
        <w:t>及相关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规定！</w:t>
      </w:r>
    </w:p>
    <w:p w14:paraId="37BC8BAC"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</w:t>
      </w:r>
    </w:p>
    <w:p w14:paraId="327B6E3F"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备注</w:t>
      </w:r>
      <w:r>
        <w:rPr>
          <w:rFonts w:hint="eastAsia" w:ascii="宋体" w:hAnsi="宋体" w:cs="宋体"/>
          <w:b w:val="0"/>
          <w:bCs w:val="0"/>
          <w:color w:val="FF0000"/>
          <w:sz w:val="28"/>
          <w:szCs w:val="28"/>
          <w:highlight w:val="yellow"/>
          <w:lang w:val="en-US" w:eastAsia="zh-CN"/>
        </w:rPr>
        <w:t>：请各门店9月10日中午交接班组织全员学习，并留下学习痕迹，于17:00前拍照上传钉钉“质管部-门店质量管理”群。</w:t>
      </w:r>
      <w:r>
        <w:rPr>
          <w:rFonts w:hint="eastAsia" w:ascii="宋体" w:hAnsi="宋体" w:cs="宋体"/>
          <w:sz w:val="28"/>
          <w:szCs w:val="28"/>
        </w:rPr>
        <w:t xml:space="preserve"> </w:t>
      </w:r>
    </w:p>
    <w:p w14:paraId="6D3802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  </w:t>
      </w:r>
    </w:p>
    <w:p w14:paraId="1EFD91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 w14:paraId="1E4872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 w14:paraId="4621F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00" w:firstLineChars="500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    质管部</w:t>
      </w:r>
    </w:p>
    <w:p w14:paraId="7E4931FE">
      <w:p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202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日</w:t>
      </w:r>
    </w:p>
    <w:p w14:paraId="2BD10206">
      <w:p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 w14:paraId="78D2E9CB">
      <w:pPr>
        <w:jc w:val="left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</w:p>
    <w:p w14:paraId="667AFA6E">
      <w:p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 w14:paraId="158048BD">
      <w:pPr>
        <w:spacing w:line="580" w:lineRule="exact"/>
        <w:rPr>
          <w:rFonts w:hint="eastAsia" w:ascii="黑体" w:hAnsi="Times New Roman" w:eastAsia="黑体" w:cs="Times New Roman"/>
          <w:sz w:val="28"/>
          <w:szCs w:val="28"/>
          <w:u w:val="single"/>
        </w:rPr>
      </w:pPr>
      <w:r>
        <w:rPr>
          <w:rFonts w:hint="eastAsia" w:ascii="黑体" w:hAnsi="Times New Roman" w:eastAsia="黑体" w:cs="Times New Roman"/>
          <w:sz w:val="28"/>
          <w:szCs w:val="28"/>
          <w:u w:val="single"/>
        </w:rPr>
        <w:t>主题词</w:t>
      </w:r>
      <w:r>
        <w:rPr>
          <w:rFonts w:hint="eastAsia" w:ascii="黑体" w:hAnsi="Times New Roman" w:eastAsia="黑体" w:cs="Times New Roman"/>
          <w:sz w:val="28"/>
          <w:szCs w:val="28"/>
          <w:u w:val="single"/>
          <w:lang w:eastAsia="zh-CN"/>
        </w:rPr>
        <w:t>：</w:t>
      </w:r>
      <w:r>
        <w:rPr>
          <w:rFonts w:hint="eastAsia" w:ascii="黑体" w:hAnsi="Times New Roman" w:eastAsia="黑体" w:cs="Times New Roman"/>
          <w:sz w:val="28"/>
          <w:szCs w:val="28"/>
          <w:u w:val="single"/>
          <w:lang w:val="en-US" w:eastAsia="zh-CN"/>
        </w:rPr>
        <w:t xml:space="preserve">     医保检查处理结果                              通报 </w:t>
      </w:r>
      <w:r>
        <w:rPr>
          <w:rFonts w:hint="eastAsia" w:ascii="黑体" w:hAnsi="Times New Roman" w:eastAsia="黑体" w:cs="Times New Roman"/>
          <w:sz w:val="28"/>
          <w:szCs w:val="28"/>
          <w:u w:val="single"/>
        </w:rPr>
        <w:t xml:space="preserve"> </w:t>
      </w:r>
      <w:r>
        <w:rPr>
          <w:rFonts w:hint="eastAsia" w:ascii="黑体" w:hAnsi="Times New Roman" w:eastAsia="黑体" w:cs="Times New Roman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Times New Roman" w:eastAsia="黑体" w:cs="Times New Roman"/>
          <w:sz w:val="28"/>
          <w:szCs w:val="28"/>
          <w:u w:val="single"/>
        </w:rPr>
        <w:t xml:space="preserve"> </w:t>
      </w:r>
    </w:p>
    <w:p w14:paraId="4744E88F">
      <w:pPr>
        <w:spacing w:line="580" w:lineRule="exact"/>
        <w:rPr>
          <w:rFonts w:hint="eastAsia" w:ascii="黑体" w:eastAsia="黑体"/>
          <w:sz w:val="28"/>
          <w:szCs w:val="28"/>
          <w:u w:val="single"/>
        </w:rPr>
      </w:pPr>
      <w:r>
        <w:rPr>
          <w:rFonts w:hint="eastAsia" w:ascii="黑体" w:eastAsia="黑体"/>
          <w:sz w:val="28"/>
          <w:szCs w:val="28"/>
          <w:u w:val="single"/>
        </w:rPr>
        <w:t xml:space="preserve">四川太极大药房连锁有限公司  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黑体" w:eastAsia="黑体"/>
          <w:sz w:val="28"/>
          <w:szCs w:val="28"/>
          <w:u w:val="single"/>
        </w:rPr>
        <w:t xml:space="preserve"> 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eastAsia="黑体"/>
          <w:sz w:val="28"/>
          <w:szCs w:val="28"/>
          <w:u w:val="single"/>
        </w:rPr>
        <w:t xml:space="preserve"> 20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>25</w:t>
      </w:r>
      <w:r>
        <w:rPr>
          <w:rFonts w:hint="eastAsia" w:ascii="黑体" w:eastAsia="黑体"/>
          <w:sz w:val="28"/>
          <w:szCs w:val="28"/>
          <w:u w:val="single"/>
        </w:rPr>
        <w:t>年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>9月8</w:t>
      </w:r>
      <w:r>
        <w:rPr>
          <w:rFonts w:hint="eastAsia" w:ascii="黑体" w:eastAsia="黑体"/>
          <w:sz w:val="28"/>
          <w:szCs w:val="28"/>
          <w:u w:val="single"/>
        </w:rPr>
        <w:t xml:space="preserve">日印发 </w:t>
      </w:r>
      <w:r>
        <w:rPr>
          <w:rFonts w:hint="eastAsia" w:ascii="黑体" w:eastAsia="黑体"/>
          <w:sz w:val="28"/>
          <w:szCs w:val="28"/>
        </w:rPr>
        <w:t xml:space="preserve">  </w:t>
      </w:r>
    </w:p>
    <w:p w14:paraId="59DDD0BE">
      <w:pPr>
        <w:spacing w:line="580" w:lineRule="exact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 xml:space="preserve">拟稿：杨怡珩                            </w:t>
      </w:r>
      <w:r>
        <w:rPr>
          <w:rFonts w:hint="eastAsia" w:ascii="黑体" w:eastAsia="黑体"/>
          <w:sz w:val="28"/>
          <w:szCs w:val="28"/>
        </w:rPr>
        <w:t xml:space="preserve"> 核对：</w:t>
      </w:r>
      <w:r>
        <w:rPr>
          <w:rFonts w:hint="eastAsia" w:ascii="黑体" w:eastAsia="黑体"/>
          <w:sz w:val="28"/>
          <w:szCs w:val="28"/>
          <w:lang w:eastAsia="zh-CN"/>
        </w:rPr>
        <w:t>何玉英</w:t>
      </w:r>
      <w:r>
        <w:rPr>
          <w:rFonts w:hint="eastAsia" w:ascii="黑体" w:eastAsia="黑体"/>
          <w:sz w:val="28"/>
          <w:szCs w:val="28"/>
        </w:rPr>
        <w:t xml:space="preserve"> （共印</w:t>
      </w:r>
      <w:r>
        <w:rPr>
          <w:rFonts w:hint="eastAsia" w:ascii="黑体" w:eastAsia="黑体"/>
          <w:sz w:val="28"/>
          <w:szCs w:val="28"/>
          <w:lang w:val="en-US" w:eastAsia="zh-CN"/>
        </w:rPr>
        <w:t>1</w:t>
      </w:r>
      <w:r>
        <w:rPr>
          <w:rFonts w:hint="eastAsia" w:ascii="黑体" w:eastAsia="黑体"/>
          <w:sz w:val="28"/>
          <w:szCs w:val="28"/>
        </w:rPr>
        <w:t>份）</w:t>
      </w:r>
    </w:p>
    <w:p w14:paraId="309B04EA">
      <w:pPr>
        <w:spacing w:line="580" w:lineRule="exact"/>
        <w:rPr>
          <w:rFonts w:hint="eastAsia" w:ascii="黑体" w:eastAsia="黑体"/>
          <w:sz w:val="28"/>
          <w:szCs w:val="28"/>
        </w:rPr>
      </w:pPr>
    </w:p>
    <w:p w14:paraId="5FD73311">
      <w:pPr>
        <w:spacing w:line="580" w:lineRule="exact"/>
        <w:rPr>
          <w:rFonts w:hint="eastAsia" w:ascii="黑体" w:eastAsia="黑体"/>
          <w:sz w:val="28"/>
          <w:szCs w:val="28"/>
        </w:rPr>
      </w:pPr>
    </w:p>
    <w:p w14:paraId="506BFF7B">
      <w:pPr>
        <w:spacing w:line="580" w:lineRule="exact"/>
        <w:rPr>
          <w:rFonts w:hint="eastAsia" w:ascii="黑体" w:eastAsia="黑体"/>
          <w:sz w:val="28"/>
          <w:szCs w:val="28"/>
        </w:rPr>
      </w:pPr>
    </w:p>
    <w:p w14:paraId="0275AD90">
      <w:pPr>
        <w:spacing w:line="580" w:lineRule="exact"/>
        <w:rPr>
          <w:rFonts w:hint="eastAsia" w:ascii="黑体" w:eastAsia="黑体"/>
          <w:sz w:val="28"/>
          <w:szCs w:val="28"/>
        </w:rPr>
      </w:pPr>
    </w:p>
    <w:p w14:paraId="590FFB15">
      <w:pPr>
        <w:spacing w:line="580" w:lineRule="exact"/>
        <w:rPr>
          <w:rFonts w:hint="eastAsia" w:ascii="黑体" w:eastAsia="黑体"/>
          <w:sz w:val="28"/>
          <w:szCs w:val="28"/>
        </w:rPr>
      </w:pPr>
    </w:p>
    <w:p w14:paraId="003904B3">
      <w:pPr>
        <w:spacing w:line="580" w:lineRule="exact"/>
        <w:rPr>
          <w:rFonts w:hint="eastAsia" w:ascii="黑体" w:eastAsia="黑体"/>
          <w:sz w:val="28"/>
          <w:szCs w:val="28"/>
        </w:rPr>
      </w:pPr>
    </w:p>
    <w:p w14:paraId="00C6737E">
      <w:pPr>
        <w:spacing w:line="580" w:lineRule="exact"/>
        <w:rPr>
          <w:rFonts w:hint="eastAsia" w:ascii="黑体" w:eastAsia="黑体"/>
          <w:sz w:val="28"/>
          <w:szCs w:val="28"/>
        </w:rPr>
      </w:pPr>
    </w:p>
    <w:p w14:paraId="41BEA72E">
      <w:pPr>
        <w:spacing w:line="580" w:lineRule="exact"/>
        <w:rPr>
          <w:rFonts w:hint="eastAsia" w:ascii="黑体" w:eastAsia="黑体"/>
          <w:sz w:val="28"/>
          <w:szCs w:val="28"/>
        </w:rPr>
      </w:pPr>
    </w:p>
    <w:p w14:paraId="104B6D21">
      <w:pPr>
        <w:spacing w:line="580" w:lineRule="exact"/>
        <w:rPr>
          <w:rFonts w:hint="eastAsia" w:ascii="黑体" w:eastAsia="黑体"/>
          <w:sz w:val="28"/>
          <w:szCs w:val="28"/>
        </w:rPr>
      </w:pPr>
    </w:p>
    <w:p w14:paraId="11BC5587">
      <w:pPr>
        <w:spacing w:line="580" w:lineRule="exact"/>
        <w:rPr>
          <w:rFonts w:hint="eastAsia" w:ascii="黑体" w:eastAsia="黑体"/>
          <w:sz w:val="28"/>
          <w:szCs w:val="28"/>
        </w:rPr>
      </w:pPr>
    </w:p>
    <w:p w14:paraId="1EB5B077">
      <w:pPr>
        <w:spacing w:line="580" w:lineRule="exact"/>
        <w:rPr>
          <w:rFonts w:hint="eastAsia" w:ascii="黑体" w:eastAsia="黑体"/>
          <w:sz w:val="28"/>
          <w:szCs w:val="28"/>
        </w:rPr>
      </w:pPr>
    </w:p>
    <w:p w14:paraId="63CE633E">
      <w:pPr>
        <w:spacing w:line="580" w:lineRule="exact"/>
        <w:rPr>
          <w:rFonts w:hint="eastAsia" w:ascii="黑体" w:eastAsia="黑体"/>
          <w:sz w:val="28"/>
          <w:szCs w:val="28"/>
        </w:rPr>
      </w:pPr>
    </w:p>
    <w:p w14:paraId="0768ED25">
      <w:pPr>
        <w:spacing w:line="580" w:lineRule="exact"/>
        <w:rPr>
          <w:rFonts w:hint="eastAsia" w:ascii="黑体" w:eastAsia="黑体"/>
          <w:sz w:val="28"/>
          <w:szCs w:val="28"/>
        </w:rPr>
      </w:pPr>
    </w:p>
    <w:p w14:paraId="00843A8A">
      <w:pPr>
        <w:spacing w:line="580" w:lineRule="exact"/>
        <w:rPr>
          <w:rFonts w:hint="eastAsia" w:ascii="黑体" w:eastAsia="黑体"/>
          <w:sz w:val="28"/>
          <w:szCs w:val="28"/>
        </w:rPr>
      </w:pPr>
    </w:p>
    <w:p w14:paraId="74F85AC7">
      <w:pPr>
        <w:spacing w:line="580" w:lineRule="exact"/>
        <w:rPr>
          <w:rFonts w:hint="eastAsia" w:ascii="黑体" w:eastAsia="黑体"/>
          <w:sz w:val="28"/>
          <w:szCs w:val="28"/>
        </w:rPr>
      </w:pPr>
    </w:p>
    <w:p w14:paraId="65F78956">
      <w:pPr>
        <w:spacing w:line="580" w:lineRule="exact"/>
        <w:rPr>
          <w:rFonts w:hint="eastAsia" w:ascii="黑体" w:eastAsia="黑体"/>
          <w:sz w:val="28"/>
          <w:szCs w:val="28"/>
        </w:rPr>
      </w:pPr>
    </w:p>
    <w:p w14:paraId="283101A4">
      <w:pPr>
        <w:spacing w:line="580" w:lineRule="exact"/>
        <w:rPr>
          <w:rFonts w:hint="eastAsia" w:ascii="黑体" w:eastAsia="黑体"/>
          <w:sz w:val="28"/>
          <w:szCs w:val="28"/>
          <w:lang w:eastAsia="zh-CN"/>
        </w:rPr>
      </w:pPr>
    </w:p>
    <w:p w14:paraId="4FA82AE3">
      <w:pPr>
        <w:spacing w:line="580" w:lineRule="exact"/>
        <w:rPr>
          <w:rFonts w:hint="eastAsia" w:ascii="黑体" w:eastAsia="黑体"/>
          <w:sz w:val="28"/>
          <w:szCs w:val="28"/>
        </w:rPr>
      </w:pPr>
    </w:p>
    <w:p w14:paraId="3FED1030">
      <w:pPr>
        <w:spacing w:line="580" w:lineRule="exact"/>
        <w:rPr>
          <w:rFonts w:hint="eastAsia" w:ascii="黑体" w:eastAsia="黑体"/>
          <w:sz w:val="28"/>
          <w:szCs w:val="28"/>
        </w:rPr>
      </w:pPr>
    </w:p>
    <w:sectPr>
      <w:pgSz w:w="11906" w:h="16838"/>
      <w:pgMar w:top="760" w:right="1236" w:bottom="1157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A358CA"/>
    <w:multiLevelType w:val="singleLevel"/>
    <w:tmpl w:val="C7A358C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1OWFjMDY1MDMwYWU1ODQyNzE5YmYwN2MzYjJkYjIifQ=="/>
    <w:docVar w:name="KSO_WPS_MARK_KEY" w:val="d8c6f8d6-73ae-4519-9183-426ee917624e"/>
  </w:docVars>
  <w:rsids>
    <w:rsidRoot w:val="1A51554B"/>
    <w:rsid w:val="001A1FA6"/>
    <w:rsid w:val="01361D70"/>
    <w:rsid w:val="016A5229"/>
    <w:rsid w:val="025D6F7C"/>
    <w:rsid w:val="028B36A9"/>
    <w:rsid w:val="02FA082F"/>
    <w:rsid w:val="03084CFA"/>
    <w:rsid w:val="037405E1"/>
    <w:rsid w:val="042E0790"/>
    <w:rsid w:val="04FC6AE0"/>
    <w:rsid w:val="05087233"/>
    <w:rsid w:val="06872CD5"/>
    <w:rsid w:val="07447AF0"/>
    <w:rsid w:val="07662E5F"/>
    <w:rsid w:val="079E2709"/>
    <w:rsid w:val="082C6E90"/>
    <w:rsid w:val="08544267"/>
    <w:rsid w:val="08E07A18"/>
    <w:rsid w:val="09371E95"/>
    <w:rsid w:val="09532A47"/>
    <w:rsid w:val="0A9B4624"/>
    <w:rsid w:val="0AFB3396"/>
    <w:rsid w:val="0B097A3D"/>
    <w:rsid w:val="0B337917"/>
    <w:rsid w:val="0B6B4077"/>
    <w:rsid w:val="0C5B0590"/>
    <w:rsid w:val="0DE85E53"/>
    <w:rsid w:val="0DF16D74"/>
    <w:rsid w:val="0E0A7DA1"/>
    <w:rsid w:val="0E1A6F96"/>
    <w:rsid w:val="0E791068"/>
    <w:rsid w:val="0EC319B3"/>
    <w:rsid w:val="0F307AB2"/>
    <w:rsid w:val="0F9F2542"/>
    <w:rsid w:val="0FFF1232"/>
    <w:rsid w:val="106E1676"/>
    <w:rsid w:val="10A818CA"/>
    <w:rsid w:val="10B12BC6"/>
    <w:rsid w:val="10B4760D"/>
    <w:rsid w:val="10DE52EC"/>
    <w:rsid w:val="11D96B4F"/>
    <w:rsid w:val="12916992"/>
    <w:rsid w:val="12E1402A"/>
    <w:rsid w:val="1441408E"/>
    <w:rsid w:val="14520BB9"/>
    <w:rsid w:val="14AB1989"/>
    <w:rsid w:val="15393438"/>
    <w:rsid w:val="1576211D"/>
    <w:rsid w:val="1594241D"/>
    <w:rsid w:val="15D01000"/>
    <w:rsid w:val="15FA2BC8"/>
    <w:rsid w:val="16F94C2D"/>
    <w:rsid w:val="16FA59C1"/>
    <w:rsid w:val="17437BEB"/>
    <w:rsid w:val="17481711"/>
    <w:rsid w:val="17712A16"/>
    <w:rsid w:val="178F7340"/>
    <w:rsid w:val="17D411F6"/>
    <w:rsid w:val="17FD46D6"/>
    <w:rsid w:val="18587425"/>
    <w:rsid w:val="185E5E09"/>
    <w:rsid w:val="18950986"/>
    <w:rsid w:val="1940117E"/>
    <w:rsid w:val="19747C2B"/>
    <w:rsid w:val="199B6E4C"/>
    <w:rsid w:val="1A51554B"/>
    <w:rsid w:val="1A724BD7"/>
    <w:rsid w:val="1AB11006"/>
    <w:rsid w:val="1AEB59B1"/>
    <w:rsid w:val="1B4C0A7F"/>
    <w:rsid w:val="1B527002"/>
    <w:rsid w:val="1C6F14EE"/>
    <w:rsid w:val="1C8A70B8"/>
    <w:rsid w:val="1D8E2D2B"/>
    <w:rsid w:val="1D9205F3"/>
    <w:rsid w:val="1E4210A3"/>
    <w:rsid w:val="1E9E60BA"/>
    <w:rsid w:val="1EB11053"/>
    <w:rsid w:val="1F57306A"/>
    <w:rsid w:val="22581B02"/>
    <w:rsid w:val="225D7F96"/>
    <w:rsid w:val="22813D29"/>
    <w:rsid w:val="22B83BEE"/>
    <w:rsid w:val="230340DB"/>
    <w:rsid w:val="23E56492"/>
    <w:rsid w:val="241B7DF0"/>
    <w:rsid w:val="24596D0B"/>
    <w:rsid w:val="25257535"/>
    <w:rsid w:val="25D73CB0"/>
    <w:rsid w:val="261D1FBA"/>
    <w:rsid w:val="268C2C23"/>
    <w:rsid w:val="26B97F35"/>
    <w:rsid w:val="26EA27E4"/>
    <w:rsid w:val="27A15AC1"/>
    <w:rsid w:val="27BD5803"/>
    <w:rsid w:val="27C44929"/>
    <w:rsid w:val="27F05BD9"/>
    <w:rsid w:val="281D56FF"/>
    <w:rsid w:val="28546167"/>
    <w:rsid w:val="28A72DED"/>
    <w:rsid w:val="28AD3ACA"/>
    <w:rsid w:val="293255EF"/>
    <w:rsid w:val="293660B8"/>
    <w:rsid w:val="293E4722"/>
    <w:rsid w:val="297C64C2"/>
    <w:rsid w:val="297F5466"/>
    <w:rsid w:val="29930F11"/>
    <w:rsid w:val="2A257EAA"/>
    <w:rsid w:val="2A9934A9"/>
    <w:rsid w:val="2B734342"/>
    <w:rsid w:val="2CA3146B"/>
    <w:rsid w:val="2DC16122"/>
    <w:rsid w:val="2E6115DE"/>
    <w:rsid w:val="2EC83F29"/>
    <w:rsid w:val="2FA13FF5"/>
    <w:rsid w:val="300F0BC6"/>
    <w:rsid w:val="304765B2"/>
    <w:rsid w:val="306B3ED3"/>
    <w:rsid w:val="31490108"/>
    <w:rsid w:val="32785148"/>
    <w:rsid w:val="33BD0E3A"/>
    <w:rsid w:val="33CB3480"/>
    <w:rsid w:val="34A22009"/>
    <w:rsid w:val="35EB3E83"/>
    <w:rsid w:val="36DA0180"/>
    <w:rsid w:val="374920E7"/>
    <w:rsid w:val="38AC5B4C"/>
    <w:rsid w:val="39290F4A"/>
    <w:rsid w:val="392A6A70"/>
    <w:rsid w:val="393D440C"/>
    <w:rsid w:val="394E4CF9"/>
    <w:rsid w:val="39810D86"/>
    <w:rsid w:val="3A26548A"/>
    <w:rsid w:val="3BAC5E63"/>
    <w:rsid w:val="3D9B7F3D"/>
    <w:rsid w:val="3E0F7997"/>
    <w:rsid w:val="3E371A14"/>
    <w:rsid w:val="3E8D3D29"/>
    <w:rsid w:val="3E90451F"/>
    <w:rsid w:val="3EB968CD"/>
    <w:rsid w:val="3F4C6935"/>
    <w:rsid w:val="3FF2350F"/>
    <w:rsid w:val="40242B4C"/>
    <w:rsid w:val="402B4A6D"/>
    <w:rsid w:val="40A86BF9"/>
    <w:rsid w:val="40F05A11"/>
    <w:rsid w:val="41054F50"/>
    <w:rsid w:val="41063E09"/>
    <w:rsid w:val="4115410A"/>
    <w:rsid w:val="41E31FB8"/>
    <w:rsid w:val="42DA32B5"/>
    <w:rsid w:val="42FF4ACA"/>
    <w:rsid w:val="430D7208"/>
    <w:rsid w:val="43EE526A"/>
    <w:rsid w:val="442C2302"/>
    <w:rsid w:val="44AD2602"/>
    <w:rsid w:val="45353FD1"/>
    <w:rsid w:val="45C07009"/>
    <w:rsid w:val="46CD7BD8"/>
    <w:rsid w:val="47022DDB"/>
    <w:rsid w:val="47672BC9"/>
    <w:rsid w:val="47855EE6"/>
    <w:rsid w:val="498424C2"/>
    <w:rsid w:val="49B33BCB"/>
    <w:rsid w:val="4A4221D9"/>
    <w:rsid w:val="4A974254"/>
    <w:rsid w:val="4BDC698D"/>
    <w:rsid w:val="4C0224BA"/>
    <w:rsid w:val="4C1E06B7"/>
    <w:rsid w:val="4DE54215"/>
    <w:rsid w:val="4E8F13F8"/>
    <w:rsid w:val="4E964534"/>
    <w:rsid w:val="4ECC7F56"/>
    <w:rsid w:val="4FC926E8"/>
    <w:rsid w:val="50D26D30"/>
    <w:rsid w:val="52320A18"/>
    <w:rsid w:val="53764934"/>
    <w:rsid w:val="54014B46"/>
    <w:rsid w:val="546342ED"/>
    <w:rsid w:val="547339FC"/>
    <w:rsid w:val="54760877"/>
    <w:rsid w:val="54CF31F2"/>
    <w:rsid w:val="556233C2"/>
    <w:rsid w:val="55C65D58"/>
    <w:rsid w:val="55E517F1"/>
    <w:rsid w:val="57440AB8"/>
    <w:rsid w:val="58542059"/>
    <w:rsid w:val="58C326F9"/>
    <w:rsid w:val="59205A6E"/>
    <w:rsid w:val="5A132EDD"/>
    <w:rsid w:val="5A8B168A"/>
    <w:rsid w:val="5AA0017F"/>
    <w:rsid w:val="5ABD553F"/>
    <w:rsid w:val="5B1C4013"/>
    <w:rsid w:val="5BCC3C8B"/>
    <w:rsid w:val="5C5B500F"/>
    <w:rsid w:val="5D114282"/>
    <w:rsid w:val="5D301FF8"/>
    <w:rsid w:val="5DAD53F7"/>
    <w:rsid w:val="5E4E2844"/>
    <w:rsid w:val="5E6C7060"/>
    <w:rsid w:val="5E8C4B01"/>
    <w:rsid w:val="5EBB4F11"/>
    <w:rsid w:val="5F4A0BB3"/>
    <w:rsid w:val="5FA73C5F"/>
    <w:rsid w:val="5FD6635E"/>
    <w:rsid w:val="5FF53085"/>
    <w:rsid w:val="605270F0"/>
    <w:rsid w:val="60CE5DB0"/>
    <w:rsid w:val="60DF6A93"/>
    <w:rsid w:val="60E5134B"/>
    <w:rsid w:val="62085216"/>
    <w:rsid w:val="62E95123"/>
    <w:rsid w:val="630E7E62"/>
    <w:rsid w:val="6397270F"/>
    <w:rsid w:val="641F1993"/>
    <w:rsid w:val="642108EC"/>
    <w:rsid w:val="64E5191A"/>
    <w:rsid w:val="64F6094A"/>
    <w:rsid w:val="653B1012"/>
    <w:rsid w:val="663761A5"/>
    <w:rsid w:val="66862C89"/>
    <w:rsid w:val="6691034B"/>
    <w:rsid w:val="66D24B00"/>
    <w:rsid w:val="68C161FA"/>
    <w:rsid w:val="692353C6"/>
    <w:rsid w:val="6AE14931"/>
    <w:rsid w:val="6B1E1125"/>
    <w:rsid w:val="6B2D31F7"/>
    <w:rsid w:val="6B4A0729"/>
    <w:rsid w:val="6BCF4DFD"/>
    <w:rsid w:val="6C321673"/>
    <w:rsid w:val="6CE23EDA"/>
    <w:rsid w:val="6CE7542D"/>
    <w:rsid w:val="6D036DE1"/>
    <w:rsid w:val="6DC22FDD"/>
    <w:rsid w:val="6E5518BE"/>
    <w:rsid w:val="6EDF2D81"/>
    <w:rsid w:val="6EFE3D04"/>
    <w:rsid w:val="6F8F0238"/>
    <w:rsid w:val="70022762"/>
    <w:rsid w:val="70072EBD"/>
    <w:rsid w:val="71A67373"/>
    <w:rsid w:val="71AC3EEB"/>
    <w:rsid w:val="74C37A10"/>
    <w:rsid w:val="75B3511C"/>
    <w:rsid w:val="75C612F4"/>
    <w:rsid w:val="762B73A9"/>
    <w:rsid w:val="76974649"/>
    <w:rsid w:val="76AD2C6A"/>
    <w:rsid w:val="76CA11C4"/>
    <w:rsid w:val="76EE34A9"/>
    <w:rsid w:val="77324E93"/>
    <w:rsid w:val="775A1CF3"/>
    <w:rsid w:val="77813724"/>
    <w:rsid w:val="780E5FC9"/>
    <w:rsid w:val="78957C5C"/>
    <w:rsid w:val="789C6106"/>
    <w:rsid w:val="78A1349E"/>
    <w:rsid w:val="79055981"/>
    <w:rsid w:val="7968779E"/>
    <w:rsid w:val="798219D5"/>
    <w:rsid w:val="79DC52A2"/>
    <w:rsid w:val="7A507DA7"/>
    <w:rsid w:val="7A515E1A"/>
    <w:rsid w:val="7B0C59FB"/>
    <w:rsid w:val="7B0F1047"/>
    <w:rsid w:val="7BC64D3C"/>
    <w:rsid w:val="7C0B180E"/>
    <w:rsid w:val="7D0D1234"/>
    <w:rsid w:val="7D253575"/>
    <w:rsid w:val="7D3D00ED"/>
    <w:rsid w:val="7E644F39"/>
    <w:rsid w:val="7F0745B4"/>
    <w:rsid w:val="7F18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594</Words>
  <Characters>644</Characters>
  <Lines>0</Lines>
  <Paragraphs>0</Paragraphs>
  <TotalTime>0</TotalTime>
  <ScaleCrop>false</ScaleCrop>
  <LinksUpToDate>false</LinksUpToDate>
  <CharactersWithSpaces>853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2022-04-15T08:10:00Z</dcterms:created>
  <dc:creator>太极大药房解放北路店15680892241</dc:creator>
  <cp:lastModifiedBy>英英</cp:lastModifiedBy>
  <dcterms:modified xsi:type="dcterms:W3CDTF">2025-09-08T08:48:46Z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CAF7889B00BF401AA6CB10D17223CD97</vt:lpwstr>
  </property>
  <property fmtid="{D5CDD505-2E9C-101B-9397-08002B2CF9AE}" pid="4" name="KSOTemplateDocerSaveRecord">
    <vt:lpwstr>eyJoZGlkIjoiN2QxNDM3YjUxMjZkMWYwZDNmNzk1OTc2N2YyYjE4Y2MiLCJ1c2VySWQiOiI0ODYzNjMyNjUifQ==</vt:lpwstr>
  </property>
</Properties>
</file>