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01A8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营运部发【20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38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签发人：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谭莉杨</w:t>
      </w:r>
    </w:p>
    <w:p w14:paraId="2DFB0B22"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6FB39221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保险卡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类型及门店操作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流程</w:t>
      </w:r>
    </w:p>
    <w:p w14:paraId="4EEB447E"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</w:p>
    <w:tbl>
      <w:tblPr>
        <w:tblStyle w:val="3"/>
        <w:tblpPr w:leftFromText="180" w:rightFromText="180" w:vertAnchor="text" w:horzAnchor="page" w:tblpX="1282" w:tblpY="386"/>
        <w:tblOverlap w:val="never"/>
        <w:tblW w:w="1021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6"/>
        <w:gridCol w:w="1209"/>
        <w:gridCol w:w="2640"/>
        <w:gridCol w:w="3795"/>
        <w:gridCol w:w="1007"/>
        <w:gridCol w:w="928"/>
      </w:tblGrid>
      <w:tr w14:paraId="6EF0B39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3D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20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A9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保险卡</w:t>
            </w:r>
          </w:p>
        </w:tc>
        <w:tc>
          <w:tcPr>
            <w:tcW w:w="264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7C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下账方式</w:t>
            </w:r>
          </w:p>
        </w:tc>
        <w:tc>
          <w:tcPr>
            <w:tcW w:w="37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F3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网址</w:t>
            </w:r>
          </w:p>
        </w:tc>
        <w:tc>
          <w:tcPr>
            <w:tcW w:w="1007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3B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默认密码</w:t>
            </w:r>
          </w:p>
        </w:tc>
        <w:tc>
          <w:tcPr>
            <w:tcW w:w="92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64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负责人</w:t>
            </w:r>
          </w:p>
        </w:tc>
      </w:tr>
      <w:tr w14:paraId="5D6C7B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D8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2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亿保卡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4F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系统对接下账/网页下账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F6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https://www.ebaolife.net/login.jsp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A3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123456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D7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61AA5E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05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19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博明卡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03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网页下账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7B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https://bmsy.51fmfit.com/login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85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333333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B8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41A7C7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33E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35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企健网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44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E851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C9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6D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00005E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7D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0E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国惠健康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BD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网页下账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803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https://webpos.guohuijiankang.com/#/login?redirect=%2Findex</w:t>
            </w: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5BD6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AE90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686D7F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24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F0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和信通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9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B345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E5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A4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21F7A6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F7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0E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职工普惠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3E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POS机下账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A586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C98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4B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3CA251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61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6F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慧医卡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EC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系统对接下账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7ECB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E6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9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CD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795386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36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C5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82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员福好管家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D9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网页下账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5C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https://sy.huibaofuda.com/login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EB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12345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68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龚建华</w:t>
            </w:r>
          </w:p>
        </w:tc>
      </w:tr>
      <w:tr w14:paraId="06688C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F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67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平安卡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86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中国平安保险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39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壹钱包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C4F7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1D2A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  <w:tr w14:paraId="02E303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21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36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平安直付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A3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收钱吧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3E12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5EAF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813A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  <w:tr w14:paraId="79B02A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31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71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钥匙卡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93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系统对接收钱吧（钥匙卡）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AD60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7F67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9734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  <w:tr w14:paraId="34D7BB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AE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8B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普康卡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98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系统对接收钱吧（普康卡）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1E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网址pay.pukangpay.cn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0A01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006B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  <w:tr w14:paraId="20FFB3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1F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F1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健医卡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BE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系统对接收钱吧（益企保）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9F2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8FF4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075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  <w:tr w14:paraId="2AF79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6A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7BC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如医通</w:t>
            </w: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236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先网页下账然后在系统里选择如医通下账</w:t>
            </w:r>
          </w:p>
        </w:tc>
        <w:tc>
          <w:tcPr>
            <w:tcW w:w="3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72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网址：</w:t>
            </w:r>
            <w:r>
              <w:rPr>
                <w:rStyle w:val="7"/>
                <w:rFonts w:eastAsia="宋体"/>
                <w:sz w:val="20"/>
                <w:szCs w:val="20"/>
                <w:lang w:val="en-US" w:eastAsia="zh-CN" w:bidi="ar"/>
              </w:rPr>
              <w:t>https://saas.ringnex.com/#/login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2217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09A7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朱丽娟</w:t>
            </w:r>
          </w:p>
        </w:tc>
      </w:tr>
    </w:tbl>
    <w:p w14:paraId="0E3D4078"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一、保险卡类型下账方式如下：</w:t>
      </w:r>
    </w:p>
    <w:p w14:paraId="0211D92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287F7D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二、保险卡操作流程：</w:t>
      </w:r>
    </w:p>
    <w:p w14:paraId="24A337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（一）亿保卡：</w:t>
      </w:r>
    </w:p>
    <w:p w14:paraId="49AC91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2" w:hanging="482" w:hangingChars="200"/>
        <w:jc w:val="left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亿保卡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已做系统对接，直接在英克系统“亿保”接口下账。</w:t>
      </w: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2506980" cy="5029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C9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2" w:hanging="400" w:hangingChars="200"/>
        <w:jc w:val="left"/>
        <w:textAlignment w:val="auto"/>
        <w:rPr>
          <w:rFonts w:hint="eastAsia" w:ascii="宋体" w:hAnsi="宋体" w:eastAsia="宋体" w:cs="宋体"/>
          <w:sz w:val="20"/>
          <w:szCs w:val="20"/>
        </w:rPr>
      </w:pPr>
    </w:p>
    <w:p w14:paraId="26148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多保险卡用户（顾客可能购买了多种保险）不能在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英克系统直接下账的，可登录网页，在网页收银，收银成功后在“亿保网页版专用”接口下账。</w:t>
      </w:r>
    </w:p>
    <w:p w14:paraId="13742DA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网址： https://www.ebaolife.net/login.jsp ，</w:t>
      </w:r>
    </w:p>
    <w:p w14:paraId="281DAD1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用户名：输入收银员账号，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默认密码：</w:t>
      </w:r>
      <w:r>
        <w:rPr>
          <w:rFonts w:hint="eastAsia" w:ascii="宋体" w:hAnsi="宋体" w:eastAsia="宋体" w:cs="宋体"/>
          <w:sz w:val="24"/>
          <w:szCs w:val="24"/>
        </w:rPr>
        <w:t xml:space="preserve">123456 </w:t>
      </w:r>
    </w:p>
    <w:p w14:paraId="1953E74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2637790" cy="54102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A42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0"/>
          <w:szCs w:val="20"/>
        </w:rPr>
      </w:pPr>
    </w:p>
    <w:p w14:paraId="6AF12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顾客消费时通常出示带有“亿保健康”、“智慧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E保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”、“医卡通”的卡片，或者英大的“绿色”二维码，或者二维码上端有请使用亿保收银等字样，国网客户使用英大绿码或身份证号码。</w:t>
      </w:r>
    </w:p>
    <w:p w14:paraId="645C3F3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5272405" cy="1326515"/>
            <wp:effectExtent l="0" t="0" r="63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D95F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</w:p>
    <w:p w14:paraId="30F832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（二）博明卡：</w:t>
      </w:r>
    </w:p>
    <w:p w14:paraId="1209B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博明卡未做系统对接，只能在网页收银，收银成功后在“博明卡”接口下账。</w:t>
      </w:r>
    </w:p>
    <w:p w14:paraId="1D3DCB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"https://bmsy.51fmfit.com/login，"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https://bmsy.51fmfit.com/login，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042865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默认密码：333333或boming2020</w:t>
      </w:r>
    </w:p>
    <w:p w14:paraId="7A296B6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2996565" cy="659765"/>
            <wp:effectExtent l="0" t="0" r="1333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AC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0"/>
          <w:szCs w:val="20"/>
        </w:rPr>
      </w:pPr>
    </w:p>
    <w:p w14:paraId="35C745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顾客消费时通常出示英大的“黑色”二维码，或博明小管家的二维码，中老年人使用智能手机困难的客户，也可刷身份证消费。</w:t>
      </w:r>
    </w:p>
    <w:p w14:paraId="040A2B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（三）企健网：</w:t>
      </w:r>
    </w:p>
    <w:p w14:paraId="7DF38B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企健网已做系统对接，直接在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英克系统“企健”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接口下账。</w:t>
      </w:r>
    </w:p>
    <w:p w14:paraId="505554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3097530" cy="525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E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（四）国惠健康：</w:t>
      </w:r>
    </w:p>
    <w:p w14:paraId="76EEBF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国惠健康未做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系统对接，只能在网页收银，收银成功后在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“国惠通”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接口下账。</w:t>
      </w:r>
    </w:p>
    <w:p w14:paraId="3BC363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sz w:val="24"/>
          <w:szCs w:val="24"/>
        </w:rPr>
        <w:t xml:space="preserve">webpos.guohuijiankang.com </w:t>
      </w:r>
    </w:p>
    <w:p w14:paraId="0D55F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2725420" cy="678815"/>
            <wp:effectExtent l="0" t="0" r="177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66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992505" cy="306705"/>
            <wp:effectExtent l="0" t="0" r="1714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3BFA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3680460" cy="2023110"/>
            <wp:effectExtent l="0" t="0" r="762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2FB3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   </w:t>
      </w:r>
    </w:p>
    <w:p w14:paraId="5C4AE7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（五）和信通：</w:t>
      </w:r>
    </w:p>
    <w:p w14:paraId="08D728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和信通已做系统对接，在英克系统“和信通卡”接口下账。</w:t>
      </w:r>
    </w:p>
    <w:p w14:paraId="75D790FF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3472180" cy="600075"/>
            <wp:effectExtent l="0" t="0" r="1397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7D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5D72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（六）职工普惠：</w:t>
      </w:r>
    </w:p>
    <w:p w14:paraId="722020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职工普惠已做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系统对接，用POS机刷卡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，在英克系统“职工普惠”接口下账。</w:t>
      </w:r>
    </w:p>
    <w:p w14:paraId="3DEC83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E75AA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（七）慧医卡：</w:t>
      </w:r>
    </w:p>
    <w:p w14:paraId="0F72C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慧医卡已做系统对接，直接在英克系统“慧医卡卡”接口下账。</w:t>
      </w:r>
    </w:p>
    <w:p w14:paraId="39474057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3490595" cy="705485"/>
            <wp:effectExtent l="0" t="0" r="1460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E0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2D304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（八）员福好管家：</w:t>
      </w:r>
    </w:p>
    <w:p w14:paraId="695181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员福好管家未做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系统对接，只能在网页收银，收银成功后在“国惠通”接口下账。</w:t>
      </w:r>
    </w:p>
    <w:p w14:paraId="5BE90D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网址：</w:t>
      </w:r>
      <w:r>
        <w:rPr>
          <w:rFonts w:hint="eastAsia" w:ascii="宋体" w:hAnsi="宋体" w:eastAsia="宋体" w:cs="宋体"/>
          <w:i w:val="0"/>
          <w:iCs w:val="0"/>
          <w:color w:val="000000"/>
          <w:sz w:val="24"/>
          <w:szCs w:val="24"/>
          <w:u w:val="none"/>
        </w:rPr>
        <w:t>https://sy.huibaofuda.com/login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，默认密码012345</w:t>
      </w:r>
    </w:p>
    <w:p w14:paraId="6BC05F7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3524250" cy="630555"/>
            <wp:effectExtent l="0" t="0" r="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6F9D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4766945" cy="2237105"/>
            <wp:effectExtent l="0" t="0" r="1460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A05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bookmarkStart w:id="0" w:name="OLE_LINK1"/>
    </w:p>
    <w:bookmarkEnd w:id="0"/>
    <w:p w14:paraId="31A4F79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7173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（九）平安卡：</w:t>
      </w:r>
    </w:p>
    <w:p w14:paraId="302C3B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平安卡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未做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系统对接，只能在网页版收银，收银成功后在英克系统对应收款方式下账。</w:t>
      </w:r>
    </w:p>
    <w:p w14:paraId="43FDE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1、平安卡下账成功后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英克系统“平安保险”收款方式输入对应金额完成收款。</w:t>
      </w:r>
    </w:p>
    <w:p w14:paraId="67AA5692">
      <w:pPr>
        <w:numPr>
          <w:ilvl w:val="0"/>
          <w:numId w:val="0"/>
        </w:numPr>
      </w:pPr>
      <w:r>
        <w:drawing>
          <wp:inline distT="0" distB="0" distL="114300" distR="114300">
            <wp:extent cx="4007485" cy="2927350"/>
            <wp:effectExtent l="0" t="0" r="12065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5208">
      <w:pPr>
        <w:numPr>
          <w:ilvl w:val="0"/>
          <w:numId w:val="0"/>
        </w:numPr>
      </w:pPr>
    </w:p>
    <w:p w14:paraId="0BDC820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门店正常下账后，需要在平安系统中进行操作（英克系统下账金额必须与平安系统下账金额一致）。打开平安系统,点击其他功能。</w:t>
      </w:r>
    </w:p>
    <w:p w14:paraId="7B0218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729865" cy="1708785"/>
            <wp:effectExtent l="0" t="0" r="13335" b="571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t="8218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E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点击签到</w:t>
      </w:r>
      <w:r>
        <w:rPr>
          <w:rFonts w:hint="eastAsia"/>
          <w:b/>
          <w:bCs/>
          <w:sz w:val="24"/>
          <w:szCs w:val="24"/>
          <w:lang w:val="en-US" w:eastAsia="zh-CN"/>
        </w:rPr>
        <w:t>：</w:t>
      </w:r>
      <w:r>
        <w:rPr>
          <w:rFonts w:hint="default"/>
          <w:b/>
          <w:bCs/>
          <w:sz w:val="24"/>
          <w:szCs w:val="24"/>
          <w:lang w:val="en-US" w:eastAsia="zh-CN"/>
        </w:rPr>
        <w:t>操作员：01</w:t>
      </w:r>
    </w:p>
    <w:p w14:paraId="3B1C9D29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密码：0000</w:t>
      </w:r>
      <w:r>
        <w:rPr>
          <w:rFonts w:hint="eastAsia"/>
          <w:b/>
          <w:bCs/>
          <w:sz w:val="24"/>
          <w:szCs w:val="24"/>
          <w:lang w:val="en-US" w:eastAsia="zh-CN"/>
        </w:rPr>
        <w:t>，</w:t>
      </w:r>
      <w:r>
        <w:rPr>
          <w:rFonts w:hint="default"/>
          <w:b/>
          <w:bCs/>
          <w:sz w:val="24"/>
          <w:szCs w:val="24"/>
          <w:lang w:val="en-US" w:eastAsia="zh-CN"/>
        </w:rPr>
        <w:t>Enter确认</w:t>
      </w:r>
    </w:p>
    <w:p w14:paraId="7A73F518">
      <w:pPr>
        <w:numPr>
          <w:ilvl w:val="0"/>
          <w:numId w:val="0"/>
        </w:numPr>
      </w:pPr>
      <w:r>
        <w:drawing>
          <wp:inline distT="0" distB="0" distL="114300" distR="114300">
            <wp:extent cx="2695575" cy="2364740"/>
            <wp:effectExtent l="0" t="0" r="9525" b="1651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t="763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8F26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点击【返回】可得该页面</w:t>
      </w:r>
    </w:p>
    <w:p w14:paraId="7BCEFBA1">
      <w:pPr>
        <w:numPr>
          <w:ilvl w:val="0"/>
          <w:numId w:val="0"/>
        </w:numPr>
      </w:pPr>
      <w:r>
        <w:drawing>
          <wp:inline distT="0" distB="0" distL="114300" distR="114300">
            <wp:extent cx="2809875" cy="1960880"/>
            <wp:effectExtent l="0" t="0" r="9525" b="127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t="848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1E4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点击【健康卡】即得该页面</w:t>
      </w:r>
    </w:p>
    <w:p w14:paraId="68D4734C">
      <w:pPr>
        <w:numPr>
          <w:ilvl w:val="0"/>
          <w:numId w:val="0"/>
        </w:numPr>
      </w:pPr>
      <w:r>
        <w:drawing>
          <wp:inline distT="0" distB="0" distL="114300" distR="114300">
            <wp:extent cx="2446655" cy="2145665"/>
            <wp:effectExtent l="0" t="0" r="10795" b="698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t="7632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C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点击消费即得该页面（交易流水号、品类、名称、数量、单价需填）</w:t>
      </w:r>
    </w:p>
    <w:p w14:paraId="61F08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①交易流水号填写范围0000001-9999999顺序填写。</w:t>
      </w:r>
    </w:p>
    <w:p w14:paraId="4C59C6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②品类选择药品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74FAF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③名称根据顾客实际需求填写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default"/>
          <w:sz w:val="24"/>
          <w:szCs w:val="24"/>
          <w:lang w:val="en-US" w:eastAsia="zh-CN"/>
        </w:rPr>
        <w:t>若出现系统目录没有</w:t>
      </w:r>
      <w:r>
        <w:rPr>
          <w:rFonts w:hint="eastAsia"/>
          <w:sz w:val="24"/>
          <w:szCs w:val="24"/>
          <w:lang w:val="en-US" w:eastAsia="zh-CN"/>
        </w:rPr>
        <w:t>客户消费商品，</w:t>
      </w:r>
      <w:r>
        <w:rPr>
          <w:rFonts w:hint="default"/>
          <w:sz w:val="24"/>
          <w:szCs w:val="24"/>
          <w:lang w:val="en-US" w:eastAsia="zh-CN"/>
        </w:rPr>
        <w:t>可以选择其他药品代替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default"/>
          <w:sz w:val="24"/>
          <w:szCs w:val="24"/>
          <w:lang w:val="en-US" w:eastAsia="zh-CN"/>
        </w:rPr>
        <w:t>（必须保证金额一致）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7481E7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④数量根据实际购买数量填写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default"/>
          <w:sz w:val="24"/>
          <w:szCs w:val="24"/>
          <w:lang w:val="en-US" w:eastAsia="zh-CN"/>
        </w:rPr>
        <w:t>（替代品数量填写不得大于20）</w:t>
      </w:r>
    </w:p>
    <w:p w14:paraId="494066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⑤单价根据实际购买单价填写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default"/>
          <w:sz w:val="24"/>
          <w:szCs w:val="24"/>
          <w:lang w:val="en-US" w:eastAsia="zh-CN"/>
        </w:rPr>
        <w:t>（替代品单价不得大于1000）</w:t>
      </w:r>
      <w:r>
        <w:rPr>
          <w:rFonts w:hint="default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⑥每单客户消费不得超过3000元，每天累计消费不得超过8次。</w:t>
      </w:r>
    </w:p>
    <w:p w14:paraId="113EED22">
      <w:pPr>
        <w:numPr>
          <w:ilvl w:val="0"/>
          <w:numId w:val="0"/>
        </w:numPr>
      </w:pPr>
      <w:r>
        <w:drawing>
          <wp:inline distT="0" distB="0" distL="114300" distR="114300">
            <wp:extent cx="2712085" cy="2183765"/>
            <wp:effectExtent l="0" t="0" r="12065" b="698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505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输入卡号及密码页面如下</w:t>
      </w:r>
    </w:p>
    <w:p w14:paraId="426C6292">
      <w:pPr>
        <w:numPr>
          <w:ilvl w:val="0"/>
          <w:numId w:val="0"/>
        </w:numPr>
      </w:pPr>
      <w:r>
        <w:drawing>
          <wp:inline distT="0" distB="0" distL="114300" distR="114300">
            <wp:extent cx="2597150" cy="2469515"/>
            <wp:effectExtent l="0" t="0" r="12700" b="698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1F89">
      <w:pPr>
        <w:numPr>
          <w:ilvl w:val="0"/>
          <w:numId w:val="0"/>
        </w:numPr>
      </w:pPr>
      <w:r>
        <w:drawing>
          <wp:inline distT="0" distB="0" distL="114300" distR="114300">
            <wp:extent cx="2505075" cy="1238250"/>
            <wp:effectExtent l="0" t="0" r="9525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F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4E405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密码输入完成后会自动打印小票，打印的小票需要客户签字并随每月缴款单上缴财务部存档。</w:t>
      </w:r>
    </w:p>
    <w:p w14:paraId="482CA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平安卡下账成功后</w:t>
      </w:r>
      <w:r>
        <w:rPr>
          <w:rFonts w:hint="eastAsia"/>
          <w:b/>
          <w:bCs/>
          <w:sz w:val="24"/>
          <w:szCs w:val="24"/>
          <w:lang w:val="en-US" w:eastAsia="zh-CN"/>
        </w:rPr>
        <w:t>，</w:t>
      </w:r>
      <w:r>
        <w:rPr>
          <w:rFonts w:hint="default"/>
          <w:b/>
          <w:bCs/>
          <w:sz w:val="24"/>
          <w:szCs w:val="24"/>
          <w:lang w:val="en-US" w:eastAsia="zh-CN"/>
        </w:rPr>
        <w:t>进入英克系统点击完成收款</w:t>
      </w:r>
      <w:r>
        <w:rPr>
          <w:rFonts w:hint="eastAsia"/>
          <w:b/>
          <w:bCs/>
          <w:sz w:val="24"/>
          <w:szCs w:val="24"/>
          <w:lang w:val="en-US" w:eastAsia="zh-CN"/>
        </w:rPr>
        <w:t>，</w:t>
      </w:r>
      <w:r>
        <w:rPr>
          <w:rFonts w:hint="default"/>
          <w:b/>
          <w:bCs/>
          <w:sz w:val="24"/>
          <w:szCs w:val="24"/>
          <w:lang w:val="en-US" w:eastAsia="zh-CN"/>
        </w:rPr>
        <w:t>成功打印小票。</w:t>
      </w:r>
    </w:p>
    <w:p w14:paraId="2B3E719A">
      <w:pPr>
        <w:numPr>
          <w:ilvl w:val="0"/>
          <w:numId w:val="0"/>
        </w:numPr>
      </w:pPr>
      <w:r>
        <w:drawing>
          <wp:inline distT="0" distB="0" distL="114300" distR="114300">
            <wp:extent cx="2646680" cy="1932940"/>
            <wp:effectExtent l="0" t="0" r="1270" b="1016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1D5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97C6B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 w14:paraId="48106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（十）平安直付：</w:t>
      </w:r>
    </w:p>
    <w:p w14:paraId="22CD70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平安直付已做系统对接，直接在英克系统“收钱吧”中选择“平安药诊卡”接口下账。</w:t>
      </w:r>
    </w:p>
    <w:p w14:paraId="7B05C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04724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（十一）钥匙卡：</w:t>
      </w:r>
    </w:p>
    <w:p w14:paraId="6A9112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钥匙卡已做系统对接，直接在英克系统“收钱吧”中选择“钥匙卡”接口下账。</w:t>
      </w:r>
    </w:p>
    <w:p w14:paraId="1F789A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 w14:paraId="7BA6E8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（十二）普康卡：</w:t>
      </w:r>
    </w:p>
    <w:p w14:paraId="005B09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普康已做系统对接，直接在英克系统“收钱吧”中选“普康宝”接口下账。</w:t>
      </w:r>
    </w:p>
    <w:p w14:paraId="3551FEA6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291965" cy="1341755"/>
            <wp:effectExtent l="0" t="0" r="13335" b="10795"/>
            <wp:docPr id="35" name="图片 35" descr="174219031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21903129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878B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550410" cy="2526030"/>
            <wp:effectExtent l="0" t="0" r="2540" b="7620"/>
            <wp:docPr id="37" name="图片 37" descr="96ec2ca7cb912564fa1b3422f655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6ec2ca7cb912564fa1b3422f6559b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91990" cy="2774950"/>
            <wp:effectExtent l="0" t="0" r="3810" b="6350"/>
            <wp:docPr id="38" name="图片 38" descr="340dcf382e4969a688d18c1ee29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40dcf382e4969a688d18c1ee2927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A3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（十三）健医卡：</w:t>
      </w:r>
    </w:p>
    <w:p w14:paraId="0F165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健医卡已做系统对接，直接在英克系统“收钱吧”中点击“健医在线”接口下账。</w:t>
      </w:r>
    </w:p>
    <w:p w14:paraId="6CCA35E5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1648460"/>
            <wp:effectExtent l="0" t="0" r="635" b="12700"/>
            <wp:docPr id="42" name="图片 42" descr="174219031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21903129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0929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2927985"/>
            <wp:effectExtent l="0" t="0" r="2540" b="5715"/>
            <wp:docPr id="43" name="图片 43" descr="96ec2ca7cb912564fa1b3422f655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6ec2ca7cb912564fa1b3422f6559b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675" cy="3258185"/>
            <wp:effectExtent l="0" t="0" r="3175" b="18415"/>
            <wp:docPr id="44" name="图片 44" descr="340dcf382e4969a688d18c1ee29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40dcf382e4969a688d18c1ee29277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0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（十四）如医通：</w:t>
      </w:r>
    </w:p>
    <w:p w14:paraId="7A770B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如医通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未做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系统对接，只能在网页版收银，收银成功后在英克系统对应下账。</w:t>
      </w:r>
    </w:p>
    <w:p w14:paraId="537226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ascii="宋体" w:hAnsi="宋体" w:eastAsia="宋体"/>
          <w:b w:val="0"/>
          <w:i w:val="0"/>
          <w:color w:val="000000"/>
          <w:sz w:val="24"/>
          <w:szCs w:val="24"/>
        </w:rPr>
      </w:pPr>
      <w:r>
        <w:rPr>
          <w:rFonts w:ascii="宋体" w:hAnsi="宋体" w:eastAsia="宋体"/>
          <w:b w:val="0"/>
          <w:i w:val="0"/>
          <w:color w:val="000000"/>
          <w:sz w:val="24"/>
          <w:szCs w:val="24"/>
        </w:rPr>
        <w:t>网址：</w:t>
      </w:r>
      <w:r>
        <w:rPr>
          <w:rFonts w:ascii="Calibri" w:hAnsi="Calibri" w:eastAsia="Calibri"/>
          <w:b w:val="0"/>
          <w:i w:val="0"/>
          <w:color w:val="000000"/>
          <w:sz w:val="24"/>
          <w:szCs w:val="24"/>
        </w:rPr>
        <w:t>https://saas.ringnex.com/#/login</w:t>
      </w:r>
      <w:r>
        <w:rPr>
          <w:sz w:val="24"/>
          <w:szCs w:val="24"/>
        </w:rPr>
        <w:br w:type="textWrapping"/>
      </w:r>
      <w:r>
        <w:rPr>
          <w:rFonts w:ascii="宋体" w:hAnsi="宋体" w:eastAsia="宋体"/>
          <w:b w:val="0"/>
          <w:i w:val="0"/>
          <w:color w:val="000000"/>
          <w:sz w:val="24"/>
          <w:szCs w:val="24"/>
        </w:rPr>
        <w:t>平台功能：管理用户商保收银的系统，可以理赔申请购买，退货。以及查询功能。</w:t>
      </w:r>
    </w:p>
    <w:p w14:paraId="3B0917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ascii="宋体" w:hAnsi="宋体" w:eastAsia="宋体"/>
          <w:b w:val="0"/>
          <w:i w:val="0"/>
          <w:color w:val="000000"/>
          <w:sz w:val="24"/>
          <w:szCs w:val="24"/>
        </w:rPr>
      </w:pPr>
    </w:p>
    <w:p w14:paraId="19F45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ascii="宋体" w:hAnsi="宋体" w:eastAsia="宋体"/>
          <w:b w:val="0"/>
          <w:i w:val="0"/>
          <w:color w:val="000000"/>
          <w:sz w:val="24"/>
          <w:szCs w:val="24"/>
        </w:rPr>
      </w:pPr>
    </w:p>
    <w:p w14:paraId="28184A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val="en-US" w:eastAsia="zh-CN"/>
        </w:rPr>
        <w:t>1</w:t>
      </w:r>
      <w:r>
        <w:rPr>
          <w:rFonts w:ascii="宋体" w:hAnsi="宋体" w:eastAsia="宋体"/>
          <w:b/>
          <w:bCs/>
          <w:i w:val="0"/>
          <w:color w:val="000000"/>
          <w:sz w:val="24"/>
          <w:szCs w:val="24"/>
        </w:rPr>
        <w:t>、安装使用说明</w:t>
      </w: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  <w:t>：</w:t>
      </w:r>
    </w:p>
    <w:p w14:paraId="284AC41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right="0" w:firstLine="0"/>
        <w:jc w:val="left"/>
        <w:textAlignment w:val="auto"/>
        <w:rPr>
          <w:sz w:val="24"/>
          <w:szCs w:val="24"/>
        </w:rPr>
      </w:pPr>
      <w:r>
        <w:rPr>
          <w:rFonts w:ascii="宋体" w:hAnsi="宋体" w:eastAsia="宋体"/>
          <w:b w:val="0"/>
          <w:i w:val="0"/>
          <w:color w:val="000000"/>
          <w:sz w:val="24"/>
          <w:szCs w:val="24"/>
        </w:rPr>
        <w:t>为了更好的兼容本系统，网页系统推荐使用谷歌浏览器、</w:t>
      </w:r>
      <w:r>
        <w:rPr>
          <w:rFonts w:ascii="Calibri" w:hAnsi="Calibri" w:eastAsia="Calibri"/>
          <w:b w:val="0"/>
          <w:i w:val="0"/>
          <w:color w:val="000000"/>
          <w:sz w:val="24"/>
          <w:szCs w:val="24"/>
        </w:rPr>
        <w:t>360</w:t>
      </w:r>
      <w:r>
        <w:rPr>
          <w:rFonts w:ascii="宋体" w:hAnsi="宋体" w:eastAsia="宋体"/>
          <w:b w:val="0"/>
          <w:i w:val="0"/>
          <w:color w:val="000000"/>
          <w:sz w:val="24"/>
          <w:szCs w:val="24"/>
        </w:rPr>
        <w:t xml:space="preserve"> 浏览器、搜狗浏览器、夸克浏览器。</w:t>
      </w:r>
    </w:p>
    <w:p w14:paraId="55A24F9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left"/>
        <w:textAlignment w:val="auto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b/>
          <w:bCs/>
          <w:i w:val="0"/>
          <w:color w:val="000000"/>
          <w:sz w:val="24"/>
          <w:szCs w:val="24"/>
        </w:rPr>
        <w:t>、登录</w:t>
      </w: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  <w:t>：</w:t>
      </w: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209B3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8" w:hRule="exact"/>
        </w:trPr>
        <w:tc>
          <w:tcPr>
            <w:tcW w:w="5960" w:type="dxa"/>
          </w:tcPr>
          <w:p w14:paraId="2B5D8661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575050" cy="2115820"/>
                  <wp:effectExtent l="0" t="0" r="6350" b="17780"/>
                  <wp:docPr id="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0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3565D07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9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60"/>
            </w:tblGrid>
            <w:tr w14:paraId="67CA93EE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82" w:hRule="exact"/>
              </w:trPr>
              <w:tc>
                <w:tcPr>
                  <w:tcW w:w="2026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4D98737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1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登录系统的用户名和密码由如医系统管理员分配给各个商户，下发到门店。</w:t>
                  </w:r>
                </w:p>
                <w:p w14:paraId="36CC1358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142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打开网址，输入用户名和密码，点击登录，进入操作页面。</w:t>
                  </w:r>
                </w:p>
              </w:tc>
            </w:tr>
          </w:tbl>
          <w:p w14:paraId="08C6F1AF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11A030AE">
      <w:pPr>
        <w:widowControl/>
        <w:autoSpaceDE w:val="0"/>
        <w:autoSpaceDN w:val="0"/>
        <w:spacing w:before="354" w:after="54" w:line="210" w:lineRule="exact"/>
        <w:ind w:left="360" w:right="0" w:firstLine="0"/>
        <w:jc w:val="left"/>
        <w:rPr>
          <w:rFonts w:hint="eastAsia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/>
          <w:bCs/>
          <w:i w:val="0"/>
          <w:color w:val="000000"/>
          <w:sz w:val="24"/>
          <w:szCs w:val="24"/>
        </w:rPr>
        <w:t>、交易申请</w:t>
      </w: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  <w:t>：</w:t>
      </w: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550227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6" w:hRule="exact"/>
        </w:trPr>
        <w:tc>
          <w:tcPr>
            <w:tcW w:w="6000" w:type="dxa"/>
          </w:tcPr>
          <w:p w14:paraId="5C990CE3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566795" cy="2076450"/>
                  <wp:effectExtent l="0" t="0" r="14605" b="0"/>
                  <wp:docPr id="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29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22BCB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632200" cy="2239645"/>
                  <wp:effectExtent l="0" t="0" r="6350" b="8255"/>
                  <wp:docPr id="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2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6576C01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5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20"/>
            </w:tblGrid>
            <w:tr w14:paraId="7ED597C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08" w:hRule="exact"/>
              </w:trPr>
              <w:tc>
                <w:tcPr>
                  <w:tcW w:w="2050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29864FE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2-1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登录成功后，默认进入交易申请页，（左上角功能菜单可以点击切换至交易查询页）</w:t>
                  </w:r>
                </w:p>
                <w:p w14:paraId="064D809F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138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在搜索框内输入药品条码，首拼字母，药品名称可以查询相关药品。（支持模糊查询）</w:t>
                  </w:r>
                </w:p>
                <w:p w14:paraId="609FBAF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142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18"/>
                    </w:rPr>
                    <w:t>注意：可以直接扫码枪扫描商品条码，进行快速录入。（商品条码需要连锁事先给到如医平安进行维护）</w:t>
                  </w:r>
                </w:p>
              </w:tc>
            </w:tr>
          </w:tbl>
          <w:p w14:paraId="48BB58A9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4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20"/>
            </w:tblGrid>
            <w:tr w14:paraId="4BBF0519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94" w:hRule="exact"/>
              </w:trPr>
              <w:tc>
                <w:tcPr>
                  <w:tcW w:w="2050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4987F7D8">
                  <w:pPr>
                    <w:widowControl/>
                    <w:tabs>
                      <w:tab w:val="left" w:pos="450"/>
                      <w:tab w:val="left" w:pos="1338"/>
                      <w:tab w:val="left" w:pos="1350"/>
                      <w:tab w:val="left" w:pos="1710"/>
                    </w:tabs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2-2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若搜索到多条，会弹出多条药品记录选择，点击“添加商品”，将商品添加到订单中去。若搜索到单条，则不弹窗，该商品直接添加到订单。</w:t>
                  </w:r>
                </w:p>
              </w:tc>
            </w:tr>
          </w:tbl>
          <w:p w14:paraId="6A74170C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748B8BE1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0632C011">
      <w:pPr>
        <w:widowControl/>
        <w:autoSpaceDE w:val="0"/>
        <w:autoSpaceDN w:val="0"/>
        <w:spacing w:before="0" w:after="0" w:line="14" w:lineRule="exact"/>
        <w:ind w:left="0" w:right="0"/>
      </w:pPr>
    </w:p>
    <w:p w14:paraId="400C2F6B">
      <w:pPr>
        <w:sectPr>
          <w:pgSz w:w="11906" w:h="16838"/>
          <w:pgMar w:top="744" w:right="1440" w:bottom="890" w:left="1440" w:header="720" w:footer="720" w:gutter="0"/>
          <w:cols w:space="720" w:num="1"/>
          <w:docGrid w:linePitch="360" w:charSpace="0"/>
        </w:sectPr>
      </w:pPr>
    </w:p>
    <w:p w14:paraId="7DAFE368">
      <w:pPr>
        <w:widowControl/>
        <w:autoSpaceDE w:val="0"/>
        <w:autoSpaceDN w:val="0"/>
        <w:spacing w:before="0" w:after="526" w:line="220" w:lineRule="exact"/>
        <w:ind w:left="0" w:right="0"/>
      </w:pP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7ED3FB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0" w:hRule="exact"/>
        </w:trPr>
        <w:tc>
          <w:tcPr>
            <w:tcW w:w="6080" w:type="dxa"/>
          </w:tcPr>
          <w:p w14:paraId="169FAE15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702050" cy="2106930"/>
                  <wp:effectExtent l="0" t="0" r="12700" b="762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F7288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578860" cy="2317750"/>
                  <wp:effectExtent l="0" t="0" r="2540" b="6350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86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C20A0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495040" cy="1101725"/>
                  <wp:effectExtent l="0" t="0" r="10160" b="3175"/>
                  <wp:docPr id="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40" cy="110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70DAC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495040" cy="1099820"/>
                  <wp:effectExtent l="0" t="0" r="10160" b="5080"/>
                  <wp:docPr id="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4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14:paraId="2143BC56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06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0"/>
            </w:tblGrid>
            <w:tr w14:paraId="0CA8797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0" w:hRule="exact"/>
              </w:trPr>
              <w:tc>
                <w:tcPr>
                  <w:tcW w:w="2050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1A0349D6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2-3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添加完商品，按照实际的情况，调整药品的价格和数量，还可以根据商品的原价，录入折扣，自动计算折扣价格。（折扣价计算规则四舍五入）</w:t>
                  </w:r>
                </w:p>
                <w:p w14:paraId="287D80B6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点击“下一步”进入录入门店订单号页面。</w:t>
                  </w:r>
                </w:p>
                <w:p w14:paraId="0AE7223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40" w:right="14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18"/>
                    </w:rPr>
                    <w:t>注意：为了快速准确的录入商品，店员需现在门店</w:t>
                  </w:r>
                  <w:r>
                    <w:rPr>
                      <w:rFonts w:ascii="Calibri" w:hAnsi="Calibri" w:eastAsia="Calibri"/>
                      <w:b/>
                      <w:i w:val="0"/>
                      <w:color w:val="FF0000"/>
                      <w:sz w:val="18"/>
                    </w:rPr>
                    <w:t>pos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18"/>
                    </w:rPr>
                    <w:t xml:space="preserve"> 录入订单。</w:t>
                  </w:r>
                </w:p>
              </w:tc>
            </w:tr>
          </w:tbl>
          <w:p w14:paraId="19956E1C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8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0"/>
            </w:tblGrid>
            <w:tr w14:paraId="7CC7881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36" w:hRule="exact"/>
              </w:trPr>
              <w:tc>
                <w:tcPr>
                  <w:tcW w:w="2050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7DC7C4D4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2-4</w:t>
                  </w:r>
                </w:p>
                <w:p w14:paraId="33C3D30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录入门店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18"/>
                    </w:rPr>
                    <w:t>pos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 xml:space="preserve"> 的订单</w:t>
                  </w:r>
                </w:p>
                <w:p w14:paraId="2356CCBA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号。（方便后期的对账）</w:t>
                  </w:r>
                </w:p>
                <w:p w14:paraId="2D6CCCEF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点击“上一步”进返回</w:t>
                  </w:r>
                </w:p>
                <w:p w14:paraId="4D97FA47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商品添加页。</w:t>
                  </w:r>
                </w:p>
                <w:p w14:paraId="5232DBAE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点击“下一步”进进入</w:t>
                  </w:r>
                </w:p>
                <w:p w14:paraId="4A30E46C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18"/>
                    </w:rPr>
                    <w:t>录入交易凭证页。</w:t>
                  </w:r>
                </w:p>
              </w:tc>
            </w:tr>
          </w:tbl>
          <w:p w14:paraId="6EC96E0D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9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0"/>
            </w:tblGrid>
            <w:tr w14:paraId="7F6AE2D3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54" w:hRule="exact"/>
              </w:trPr>
              <w:tc>
                <w:tcPr>
                  <w:tcW w:w="2074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633EA3D3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2-5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录入顾客提供的交易凭证，（目前支持身份证和平安企业宝付款码）</w:t>
                  </w:r>
                </w:p>
                <w:p w14:paraId="70FF385A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点击“上一步”进返回门店订单录入页。</w:t>
                  </w:r>
                </w:p>
                <w:p w14:paraId="56B7852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点击“下一步”，进入下一个操作环节。</w:t>
                  </w:r>
                </w:p>
              </w:tc>
            </w:tr>
          </w:tbl>
          <w:p w14:paraId="1F367C46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395BBBAE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7A6CF5F8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6A0C2287">
      <w:pPr>
        <w:widowControl/>
        <w:autoSpaceDE w:val="0"/>
        <w:autoSpaceDN w:val="0"/>
        <w:spacing w:before="0" w:after="0" w:line="14" w:lineRule="exact"/>
        <w:ind w:left="0" w:right="0"/>
      </w:pPr>
    </w:p>
    <w:p w14:paraId="3A79B12C">
      <w:pPr>
        <w:sectPr>
          <w:pgSz w:w="11906" w:h="16838"/>
          <w:pgMar w:top="744" w:right="1440" w:bottom="1170" w:left="1440" w:header="720" w:footer="720" w:gutter="0"/>
          <w:cols w:space="720" w:num="1"/>
          <w:docGrid w:linePitch="360" w:charSpace="0"/>
        </w:sectPr>
      </w:pPr>
    </w:p>
    <w:p w14:paraId="7127F815">
      <w:pPr>
        <w:widowControl/>
        <w:autoSpaceDE w:val="0"/>
        <w:autoSpaceDN w:val="0"/>
        <w:spacing w:before="0" w:after="562" w:line="220" w:lineRule="exact"/>
        <w:ind w:left="0" w:right="0"/>
      </w:pPr>
    </w:p>
    <w:tbl>
      <w:tblPr>
        <w:tblStyle w:val="3"/>
        <w:tblW w:w="0" w:type="auto"/>
        <w:tblInd w:w="3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6"/>
      </w:tblGrid>
      <w:tr w14:paraId="6B74B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</w:trPr>
        <w:tc>
          <w:tcPr>
            <w:tcW w:w="8040" w:type="dxa"/>
            <w:tcBorders>
              <w:top w:val="single" w:color="000000" w:sz="6" w:space="0"/>
              <w:bottom w:val="single" w:color="000000" w:sz="6" w:space="0"/>
            </w:tcBorders>
          </w:tcPr>
          <w:p w14:paraId="115D0B98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0"/>
              </w:rPr>
              <w:t>（身份证交易参考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0"/>
              </w:rPr>
              <w:t>2-6-1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0"/>
              </w:rPr>
              <w:t>，交易码交易参考</w:t>
            </w:r>
            <w:r>
              <w:rPr>
                <w:rFonts w:ascii="Calibri" w:hAnsi="Calibri" w:eastAsia="Calibri"/>
                <w:b w:val="0"/>
                <w:i w:val="0"/>
                <w:color w:val="000000"/>
                <w:sz w:val="20"/>
              </w:rPr>
              <w:t>2-6-2</w:t>
            </w:r>
            <w:r>
              <w:rPr>
                <w:rFonts w:ascii="宋体" w:hAnsi="宋体" w:eastAsia="宋体"/>
                <w:b w:val="0"/>
                <w:i w:val="0"/>
                <w:color w:val="000000"/>
                <w:sz w:val="20"/>
              </w:rPr>
              <w:t>）</w:t>
            </w:r>
          </w:p>
        </w:tc>
      </w:tr>
    </w:tbl>
    <w:p w14:paraId="6C3B3838">
      <w:pPr>
        <w:widowControl/>
        <w:autoSpaceDE w:val="0"/>
        <w:autoSpaceDN w:val="0"/>
        <w:spacing w:before="0" w:after="0" w:line="302" w:lineRule="exact"/>
        <w:ind w:left="0" w:right="0"/>
      </w:pP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48975D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4" w:hRule="exact"/>
        </w:trPr>
        <w:tc>
          <w:tcPr>
            <w:tcW w:w="6140" w:type="dxa"/>
          </w:tcPr>
          <w:p w14:paraId="66513299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723640" cy="2514600"/>
                  <wp:effectExtent l="0" t="0" r="10160" b="0"/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8B872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725545" cy="2295525"/>
                  <wp:effectExtent l="0" t="0" r="8255" b="9525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79" cy="229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6DC8011F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1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0"/>
            </w:tblGrid>
            <w:tr w14:paraId="541DD7BC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64" w:hRule="exact"/>
              </w:trPr>
              <w:tc>
                <w:tcPr>
                  <w:tcW w:w="2016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59FD1CC1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2-6-1</w:t>
                  </w:r>
                </w:p>
                <w:p w14:paraId="321473B8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若用户录入的是身</w:t>
                  </w:r>
                </w:p>
                <w:p w14:paraId="659172C4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份证，点击“确认”，</w:t>
                  </w:r>
                </w:p>
                <w:p w14:paraId="19AE890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弹窗提示用户输入</w:t>
                  </w:r>
                </w:p>
                <w:p w14:paraId="3EA7FC4D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6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位数字密码。</w:t>
                  </w:r>
                </w:p>
                <w:p w14:paraId="796A02E9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点击“取消”重新回</w:t>
                  </w:r>
                </w:p>
                <w:p w14:paraId="2EC8618D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到交易凭证录入页。</w:t>
                  </w:r>
                </w:p>
              </w:tc>
            </w:tr>
          </w:tbl>
          <w:p w14:paraId="132429B6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33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0"/>
            </w:tblGrid>
            <w:tr w14:paraId="619690F5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04" w:hRule="exact"/>
              </w:trPr>
              <w:tc>
                <w:tcPr>
                  <w:tcW w:w="2022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467F6CA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2-6-2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若录入的是平安企业宝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app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的付款码，则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WEBPOS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会弹窗提示，营业员需要向顾客确认用户在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app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上做出了选择并做了确认。</w:t>
                  </w:r>
                </w:p>
                <w:p w14:paraId="0F52C86B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点击确认计入结算页。</w:t>
                  </w:r>
                </w:p>
              </w:tc>
            </w:tr>
          </w:tbl>
          <w:p w14:paraId="004F7202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7E6D2A30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4171BDB8">
      <w:pPr>
        <w:widowControl/>
        <w:autoSpaceDE w:val="0"/>
        <w:autoSpaceDN w:val="0"/>
        <w:spacing w:before="372" w:after="0" w:line="232" w:lineRule="exact"/>
        <w:ind w:right="0"/>
        <w:jc w:val="left"/>
        <w:rPr>
          <w:rFonts w:ascii="宋体" w:hAnsi="宋体" w:eastAsia="宋体"/>
          <w:b w:val="0"/>
          <w:i w:val="0"/>
          <w:color w:val="6F2F9F"/>
          <w:sz w:val="21"/>
        </w:rPr>
      </w:pPr>
      <w:r>
        <w:rPr>
          <w:rFonts w:ascii="宋体" w:hAnsi="宋体" w:eastAsia="宋体"/>
          <w:b w:val="0"/>
          <w:i w:val="0"/>
          <w:color w:val="000000"/>
          <w:sz w:val="21"/>
        </w:rPr>
        <w:t>出示付款码路径：</w:t>
      </w:r>
      <w:r>
        <w:rPr>
          <w:rFonts w:ascii="宋体" w:hAnsi="宋体" w:eastAsia="宋体"/>
          <w:b w:val="0"/>
          <w:i w:val="0"/>
          <w:color w:val="6F2F9F"/>
          <w:sz w:val="21"/>
        </w:rPr>
        <w:t>平安企业宝</w:t>
      </w:r>
      <w:r>
        <w:rPr>
          <w:rFonts w:ascii="Calibri" w:hAnsi="Calibri" w:eastAsia="Calibri"/>
          <w:b w:val="0"/>
          <w:i w:val="0"/>
          <w:color w:val="6F2F9F"/>
          <w:sz w:val="21"/>
        </w:rPr>
        <w:t>APP---</w:t>
      </w:r>
      <w:r>
        <w:rPr>
          <w:rFonts w:ascii="宋体" w:hAnsi="宋体" w:eastAsia="宋体"/>
          <w:b w:val="0"/>
          <w:i w:val="0"/>
          <w:color w:val="6F2F9F"/>
          <w:sz w:val="21"/>
        </w:rPr>
        <w:t>首页</w:t>
      </w:r>
      <w:r>
        <w:rPr>
          <w:rFonts w:ascii="Calibri" w:hAnsi="Calibri" w:eastAsia="Calibri"/>
          <w:b w:val="0"/>
          <w:i w:val="0"/>
          <w:color w:val="6F2F9F"/>
          <w:sz w:val="21"/>
        </w:rPr>
        <w:t>---</w:t>
      </w:r>
      <w:r>
        <w:rPr>
          <w:rFonts w:ascii="宋体" w:hAnsi="宋体" w:eastAsia="宋体"/>
          <w:b w:val="0"/>
          <w:i w:val="0"/>
          <w:color w:val="6F2F9F"/>
          <w:sz w:val="21"/>
        </w:rPr>
        <w:t>企业好福利</w:t>
      </w:r>
      <w:r>
        <w:rPr>
          <w:rFonts w:ascii="Calibri" w:hAnsi="Calibri" w:eastAsia="Calibri"/>
          <w:b w:val="0"/>
          <w:i w:val="0"/>
          <w:color w:val="6F2F9F"/>
          <w:sz w:val="21"/>
        </w:rPr>
        <w:t>---</w:t>
      </w:r>
      <w:r>
        <w:rPr>
          <w:rFonts w:ascii="宋体" w:hAnsi="宋体" w:eastAsia="宋体"/>
          <w:b w:val="0"/>
          <w:i w:val="0"/>
          <w:color w:val="6F2F9F"/>
          <w:sz w:val="21"/>
        </w:rPr>
        <w:t>健康直付</w:t>
      </w:r>
      <w:r>
        <w:rPr>
          <w:rFonts w:ascii="Calibri" w:hAnsi="Calibri" w:eastAsia="Calibri"/>
          <w:b w:val="0"/>
          <w:i w:val="0"/>
          <w:color w:val="6F2F9F"/>
          <w:sz w:val="21"/>
        </w:rPr>
        <w:t>---</w:t>
      </w:r>
      <w:r>
        <w:rPr>
          <w:rFonts w:ascii="宋体" w:hAnsi="宋体" w:eastAsia="宋体"/>
          <w:b w:val="0"/>
          <w:i w:val="0"/>
          <w:color w:val="6F2F9F"/>
          <w:sz w:val="21"/>
        </w:rPr>
        <w:t>付款码</w:t>
      </w:r>
    </w:p>
    <w:p w14:paraId="06F0614C">
      <w:pPr>
        <w:widowControl/>
        <w:autoSpaceDE w:val="0"/>
        <w:autoSpaceDN w:val="0"/>
        <w:spacing w:before="372" w:after="0" w:line="232" w:lineRule="exact"/>
        <w:ind w:right="0"/>
        <w:jc w:val="left"/>
        <w:rPr>
          <w:rFonts w:ascii="宋体" w:hAnsi="宋体" w:eastAsia="宋体"/>
          <w:b w:val="0"/>
          <w:i w:val="0"/>
          <w:color w:val="6F2F9F"/>
          <w:sz w:val="21"/>
        </w:rPr>
      </w:pPr>
    </w:p>
    <w:p w14:paraId="2C6219CB">
      <w:pPr>
        <w:widowControl/>
        <w:autoSpaceDE w:val="0"/>
        <w:autoSpaceDN w:val="0"/>
        <w:spacing w:before="88" w:after="0" w:line="240" w:lineRule="auto"/>
        <w:ind w:left="360" w:right="0" w:firstLine="0"/>
        <w:jc w:val="left"/>
        <w:sectPr>
          <w:pgSz w:w="11906" w:h="16838"/>
          <w:pgMar w:top="782" w:right="1440" w:bottom="1032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901065" cy="780415"/>
            <wp:effectExtent l="0" t="0" r="13335" b="635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356100" cy="2288540"/>
            <wp:effectExtent l="0" t="0" r="6350" b="1651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DC46">
      <w:pPr>
        <w:widowControl/>
        <w:autoSpaceDE w:val="0"/>
        <w:autoSpaceDN w:val="0"/>
        <w:spacing w:before="0" w:after="552" w:line="220" w:lineRule="exact"/>
        <w:ind w:left="0" w:right="0"/>
      </w:pP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074085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6" w:hRule="exact"/>
        </w:trPr>
        <w:tc>
          <w:tcPr>
            <w:tcW w:w="6340" w:type="dxa"/>
          </w:tcPr>
          <w:p w14:paraId="38D803E0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839210" cy="1104900"/>
                  <wp:effectExtent l="0" t="0" r="8890" b="0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CC5F1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839210" cy="1104900"/>
                  <wp:effectExtent l="0" t="0" r="8890" b="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51B9F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852545" cy="2681605"/>
                  <wp:effectExtent l="0" t="0" r="14605" b="4445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179" cy="268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42911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869690" cy="2448560"/>
                  <wp:effectExtent l="0" t="0" r="16510" b="8890"/>
                  <wp:docPr id="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69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tbl>
            <w:tblPr>
              <w:tblStyle w:val="3"/>
              <w:tblW w:w="0" w:type="auto"/>
              <w:tblInd w:w="92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0"/>
            </w:tblGrid>
            <w:tr w14:paraId="3C5B756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92" w:hRule="exact"/>
              </w:trPr>
              <w:tc>
                <w:tcPr>
                  <w:tcW w:w="2144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211FE086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2-7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店员在以上两种交易方式完成后，点击“确认”按钮，进入订单结算页。</w:t>
                  </w:r>
                </w:p>
                <w:p w14:paraId="445ADF89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点击“取消”取消本次交易，回到第一页。</w:t>
                  </w:r>
                </w:p>
                <w:p w14:paraId="6C306C95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点击“上一步”，回到录入凭证页。</w:t>
                  </w:r>
                </w:p>
                <w:p w14:paraId="667CE05E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点击“确认结账”，正式进行结算。</w:t>
                  </w:r>
                </w:p>
              </w:tc>
            </w:tr>
          </w:tbl>
          <w:p w14:paraId="0EAF0141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36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0"/>
            </w:tblGrid>
            <w:tr w14:paraId="6D74E9A6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26" w:hRule="exact"/>
              </w:trPr>
              <w:tc>
                <w:tcPr>
                  <w:tcW w:w="2128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7857B13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6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2-8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若订单有现金支付部分，则会弹窗提示现金支付。若金额超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2000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元，则会弹窗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次提示现金支付。</w:t>
                  </w:r>
                </w:p>
                <w:p w14:paraId="3B1941F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6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并且金额需要手动输入，避免误操作。</w:t>
                  </w:r>
                </w:p>
                <w:p w14:paraId="5F8C066D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6" w:right="142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现金结算后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pos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 xml:space="preserve"> 会自动调用理赔部分金额结算。</w:t>
                  </w:r>
                </w:p>
              </w:tc>
            </w:tr>
          </w:tbl>
          <w:p w14:paraId="0100D06D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52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20"/>
            </w:tblGrid>
            <w:tr w14:paraId="00B8BB1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12" w:hRule="exact"/>
              </w:trPr>
              <w:tc>
                <w:tcPr>
                  <w:tcW w:w="2174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6E62A1D0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288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24"/>
                    </w:rPr>
                    <w:t>注意：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24"/>
                    </w:rPr>
                    <w:t>现金不要漏收。</w:t>
                  </w:r>
                </w:p>
              </w:tc>
            </w:tr>
          </w:tbl>
          <w:p w14:paraId="0ADC4FBB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37C2AE02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01A6E5BE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3C22801E">
      <w:pPr>
        <w:widowControl/>
        <w:autoSpaceDE w:val="0"/>
        <w:autoSpaceDN w:val="0"/>
        <w:spacing w:before="0" w:after="0" w:line="14" w:lineRule="exact"/>
        <w:ind w:left="0" w:right="0"/>
      </w:pPr>
    </w:p>
    <w:p w14:paraId="600E234C">
      <w:pPr>
        <w:sectPr>
          <w:pgSz w:w="11906" w:h="16838"/>
          <w:pgMar w:top="774" w:right="1440" w:bottom="728" w:left="1440" w:header="720" w:footer="720" w:gutter="0"/>
          <w:cols w:space="720" w:num="1"/>
          <w:docGrid w:linePitch="360" w:charSpace="0"/>
        </w:sectPr>
      </w:pPr>
    </w:p>
    <w:p w14:paraId="454FA205">
      <w:pPr>
        <w:widowControl/>
        <w:autoSpaceDE w:val="0"/>
        <w:autoSpaceDN w:val="0"/>
        <w:spacing w:before="0" w:after="710" w:line="220" w:lineRule="exact"/>
        <w:ind w:left="0" w:right="0"/>
      </w:pP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9"/>
        <w:gridCol w:w="3009"/>
        <w:gridCol w:w="3009"/>
      </w:tblGrid>
      <w:tr w14:paraId="566427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exact"/>
        </w:trPr>
        <w:tc>
          <w:tcPr>
            <w:tcW w:w="3140" w:type="dxa"/>
          </w:tcPr>
          <w:p w14:paraId="316159E7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1783080" cy="1388110"/>
                  <wp:effectExtent l="0" t="0" r="7620" b="2540"/>
                  <wp:docPr id="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14:paraId="7EC1D725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1714500" cy="1390650"/>
                  <wp:effectExtent l="0" t="0" r="0" b="0"/>
                  <wp:docPr id="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tbl>
            <w:tblPr>
              <w:tblStyle w:val="3"/>
              <w:tblW w:w="0" w:type="auto"/>
              <w:tblInd w:w="262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20"/>
            </w:tblGrid>
            <w:tr w14:paraId="291A49C2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82" w:hRule="exact"/>
              </w:trPr>
              <w:tc>
                <w:tcPr>
                  <w:tcW w:w="2172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69E33411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6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2-9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以上步骤操作完成后，最终会弹出交易结果提示。若提示交易失败，需要退还订单收取现金的那部分金额给顾客。</w:t>
                  </w:r>
                </w:p>
              </w:tc>
            </w:tr>
          </w:tbl>
          <w:p w14:paraId="04858ED1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0B9CA497">
      <w:pPr>
        <w:widowControl/>
        <w:numPr>
          <w:ilvl w:val="0"/>
          <w:numId w:val="0"/>
        </w:numPr>
        <w:autoSpaceDE w:val="0"/>
        <w:autoSpaceDN w:val="0"/>
        <w:spacing w:before="580" w:after="26" w:line="210" w:lineRule="exact"/>
        <w:ind w:leftChars="0" w:right="0" w:rightChars="0"/>
        <w:jc w:val="left"/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val="en-US" w:eastAsia="zh-CN"/>
        </w:rPr>
        <w:t>4、</w:t>
      </w:r>
      <w:r>
        <w:rPr>
          <w:rFonts w:ascii="宋体" w:hAnsi="宋体" w:eastAsia="宋体"/>
          <w:b/>
          <w:bCs/>
          <w:i w:val="0"/>
          <w:color w:val="000000"/>
          <w:sz w:val="24"/>
          <w:szCs w:val="24"/>
        </w:rPr>
        <w:t>订单查询以及退货</w:t>
      </w: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b/>
          <w:bCs/>
          <w:i w:val="0"/>
          <w:color w:val="000000"/>
          <w:sz w:val="24"/>
          <w:szCs w:val="24"/>
          <w:lang w:eastAsia="zh-CN"/>
        </w:rPr>
        <w:br w:type="textWrapping"/>
      </w: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213EF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2" w:hRule="exact"/>
        </w:trPr>
        <w:tc>
          <w:tcPr>
            <w:tcW w:w="6440" w:type="dxa"/>
          </w:tcPr>
          <w:p w14:paraId="711A1104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922395" cy="1531620"/>
                  <wp:effectExtent l="0" t="0" r="1905" b="11430"/>
                  <wp:docPr id="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29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8193A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888740" cy="1690370"/>
                  <wp:effectExtent l="0" t="0" r="16510" b="5080"/>
                  <wp:docPr id="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4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7F0B5">
            <w:pPr>
              <w:widowControl/>
              <w:autoSpaceDE w:val="0"/>
              <w:autoSpaceDN w:val="0"/>
              <w:spacing w:before="0" w:after="0" w:line="240" w:lineRule="auto"/>
              <w:ind w:left="0" w:right="0" w:firstLine="0"/>
              <w:jc w:val="left"/>
            </w:pPr>
            <w:r>
              <w:drawing>
                <wp:inline distT="0" distB="0" distL="114300" distR="114300">
                  <wp:extent cx="3877310" cy="2220595"/>
                  <wp:effectExtent l="0" t="0" r="8890" b="8255"/>
                  <wp:docPr id="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10" cy="222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4717DD23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96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60"/>
            </w:tblGrid>
            <w:tr w14:paraId="29C9BCC5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4" w:hRule="exact"/>
              </w:trPr>
              <w:tc>
                <w:tcPr>
                  <w:tcW w:w="2236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4A1510EE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3-1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店员点击左上角“交易查询”菜单栏进入交易查询页面。交易查询页只显示交易成功或交易成功后退货的订单。</w:t>
                  </w:r>
                </w:p>
              </w:tc>
            </w:tr>
          </w:tbl>
          <w:p w14:paraId="72671E60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tbl>
            <w:tblPr>
              <w:tblStyle w:val="3"/>
              <w:tblW w:w="0" w:type="auto"/>
              <w:tblInd w:w="106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60"/>
            </w:tblGrid>
            <w:tr w14:paraId="7FEA926D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90" w:hRule="exact"/>
              </w:trPr>
              <w:tc>
                <w:tcPr>
                  <w:tcW w:w="2228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742A083F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3-2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对于未退货的订单，点击订单信息的右方，对应的操作有“退货”按钮的。点击后会弹出退货弹窗。点击确认后可进行退货操作。</w:t>
                  </w:r>
                </w:p>
                <w:p w14:paraId="498490D3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142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20"/>
                    </w:rPr>
                    <w:t>若用户有现金支付部分。需要店员单独退还给顾客。</w:t>
                  </w:r>
                </w:p>
                <w:p w14:paraId="7069F237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另外：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正常订单可以打印消费小票，已退货的订单可以打印退货小票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对应的操作有“打印小票”按钮。</w:t>
                  </w:r>
                </w:p>
              </w:tc>
            </w:tr>
          </w:tbl>
          <w:p w14:paraId="23FC27EC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  <w:p w14:paraId="24174EC0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73FC59DD">
      <w:pPr>
        <w:widowControl/>
        <w:autoSpaceDE w:val="0"/>
        <w:autoSpaceDN w:val="0"/>
        <w:spacing w:before="0" w:after="0" w:line="14" w:lineRule="exact"/>
        <w:ind w:left="0" w:right="0"/>
      </w:pPr>
    </w:p>
    <w:p w14:paraId="2FBB9D0A">
      <w:pPr>
        <w:sectPr>
          <w:pgSz w:w="11906" w:h="16838"/>
          <w:pgMar w:top="930" w:right="1440" w:bottom="1184" w:left="1440" w:header="720" w:footer="720" w:gutter="0"/>
          <w:cols w:space="720" w:num="1"/>
          <w:docGrid w:linePitch="360" w:charSpace="0"/>
        </w:sectPr>
      </w:pPr>
    </w:p>
    <w:p w14:paraId="3E4E6A72">
      <w:pPr>
        <w:widowControl/>
        <w:autoSpaceDE w:val="0"/>
        <w:autoSpaceDN w:val="0"/>
        <w:spacing w:before="0" w:after="566" w:line="220" w:lineRule="exact"/>
        <w:ind w:left="0" w:right="0"/>
      </w:pPr>
    </w:p>
    <w:tbl>
      <w:tblPr>
        <w:tblStyle w:val="3"/>
        <w:tblW w:w="0" w:type="auto"/>
        <w:tblInd w:w="1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513"/>
      </w:tblGrid>
      <w:tr w14:paraId="11DCF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2" w:hRule="exact"/>
        </w:trPr>
        <w:tc>
          <w:tcPr>
            <w:tcW w:w="6320" w:type="dxa"/>
          </w:tcPr>
          <w:p w14:paraId="0E70962C">
            <w:pPr>
              <w:widowControl/>
              <w:autoSpaceDE w:val="0"/>
              <w:autoSpaceDN w:val="0"/>
              <w:spacing w:before="0" w:after="0" w:line="240" w:lineRule="auto"/>
              <w:ind w:left="180" w:right="0" w:firstLine="0"/>
              <w:jc w:val="left"/>
            </w:pPr>
            <w:r>
              <w:drawing>
                <wp:inline distT="0" distB="0" distL="114300" distR="114300">
                  <wp:extent cx="3848100" cy="1804670"/>
                  <wp:effectExtent l="0" t="0" r="0" b="5080"/>
                  <wp:docPr id="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tbl>
            <w:tblPr>
              <w:tblStyle w:val="3"/>
              <w:tblW w:w="0" w:type="auto"/>
              <w:tblInd w:w="9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60"/>
            </w:tblGrid>
            <w:tr w14:paraId="26A39AE3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2" w:hRule="exact"/>
              </w:trPr>
              <w:tc>
                <w:tcPr>
                  <w:tcW w:w="2112" w:type="dxa"/>
                  <w:tcBorders>
                    <w:top w:val="single" w:color="000000" w:sz="6" w:space="0"/>
                    <w:bottom w:val="single" w:color="000000" w:sz="6" w:space="0"/>
                  </w:tcBorders>
                </w:tcPr>
                <w:p w14:paraId="70CE213C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288" w:firstLine="0"/>
                    <w:jc w:val="left"/>
                  </w:pPr>
                  <w:r>
                    <w:rPr>
                      <w:rFonts w:ascii="Calibri" w:hAnsi="Calibri" w:eastAsia="Calibri"/>
                      <w:b w:val="0"/>
                      <w:i w:val="0"/>
                      <w:color w:val="000000"/>
                      <w:sz w:val="20"/>
                    </w:rPr>
                    <w:t>3-3</w:t>
                  </w:r>
                  <w:r>
                    <w:br w:type="textWrapping"/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000000"/>
                      <w:sz w:val="20"/>
                    </w:rPr>
                    <w:t>小票样式如图所示</w:t>
                  </w:r>
                </w:p>
                <w:p w14:paraId="4D62DF4A">
                  <w:pPr>
                    <w:widowControl/>
                    <w:autoSpaceDE w:val="0"/>
                    <w:autoSpaceDN w:val="0"/>
                    <w:spacing w:before="0" w:after="0" w:line="240" w:lineRule="auto"/>
                    <w:ind w:left="138" w:right="140" w:firstLine="0"/>
                    <w:jc w:val="left"/>
                  </w:pP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20"/>
                    </w:rPr>
                    <w:t>注意：小票打印需要门店电脑连事先接好打印机。网页系统只是打开小票的</w:t>
                  </w:r>
                  <w:r>
                    <w:rPr>
                      <w:rFonts w:ascii="Calibri" w:hAnsi="Calibri" w:eastAsia="Calibri"/>
                      <w:b w:val="0"/>
                      <w:i w:val="0"/>
                      <w:color w:val="FF0000"/>
                      <w:sz w:val="20"/>
                    </w:rPr>
                    <w:t>pdf</w:t>
                  </w:r>
                  <w:r>
                    <w:rPr>
                      <w:rFonts w:ascii="宋体" w:hAnsi="宋体" w:eastAsia="宋体"/>
                      <w:b w:val="0"/>
                      <w:i w:val="0"/>
                      <w:color w:val="FF0000"/>
                      <w:sz w:val="20"/>
                    </w:rPr>
                    <w:t xml:space="preserve"> 文件。</w:t>
                  </w:r>
                </w:p>
              </w:tc>
            </w:tr>
          </w:tbl>
          <w:p w14:paraId="21865A62">
            <w:pPr>
              <w:widowControl/>
              <w:autoSpaceDE w:val="0"/>
              <w:autoSpaceDN w:val="0"/>
              <w:spacing w:before="0" w:after="0" w:line="240" w:lineRule="auto"/>
              <w:ind w:left="0" w:right="0"/>
              <w:jc w:val="left"/>
            </w:pPr>
          </w:p>
        </w:tc>
      </w:tr>
    </w:tbl>
    <w:p w14:paraId="5F2CC30F">
      <w:pPr>
        <w:widowControl/>
        <w:autoSpaceDE w:val="0"/>
        <w:autoSpaceDN w:val="0"/>
        <w:spacing w:before="0" w:after="0" w:line="14" w:lineRule="exact"/>
        <w:ind w:left="0" w:right="0"/>
      </w:pPr>
    </w:p>
    <w:p w14:paraId="708363B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 w14:paraId="56CA95DF">
      <w:pPr>
        <w:widowControl w:val="0"/>
        <w:numPr>
          <w:ilvl w:val="0"/>
          <w:numId w:val="2"/>
        </w:numPr>
        <w:ind w:left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英克下账：</w:t>
      </w:r>
    </w:p>
    <w:p w14:paraId="4074CFF4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23970" cy="729615"/>
            <wp:effectExtent l="0" t="0" r="5080" b="13335"/>
            <wp:docPr id="69" name="图片 69" descr="b7ceb316bd456b5c8fdfda901960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b7ceb316bd456b5c8fdfda90196021d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C9B3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58D2C46C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5891BE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以上为公司保险卡操作明细，请各门店下载该文档，保存至桌面方面使用，各店长对新晋员工做好培训，避免刷卡错误！</w:t>
      </w:r>
    </w:p>
    <w:p w14:paraId="4A767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如有不清楚的请联系营运部龚建华13688144855、朱丽娟13730876120。</w:t>
      </w:r>
    </w:p>
    <w:p w14:paraId="369AB2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C7AC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righ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营运部</w:t>
      </w:r>
    </w:p>
    <w:p w14:paraId="3CD5C2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righ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2025年3月28日</w:t>
      </w:r>
    </w:p>
    <w:p w14:paraId="535963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righ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82A8B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/>
          <w:b/>
          <w:bCs/>
          <w:color w:val="auto"/>
          <w:sz w:val="24"/>
          <w:szCs w:val="24"/>
          <w:u w:val="single"/>
        </w:rPr>
        <w:t>主题词：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保险卡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类型及门店操作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流程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b/>
          <w:bCs/>
          <w:sz w:val="36"/>
          <w:szCs w:val="36"/>
          <w:u w:val="single"/>
          <w:lang w:val="en-US" w:eastAsia="zh-CN"/>
        </w:rPr>
        <w:t xml:space="preserve">    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/>
          <w:bCs/>
          <w:color w:val="auto"/>
          <w:sz w:val="24"/>
          <w:szCs w:val="24"/>
          <w:u w:val="single"/>
        </w:rPr>
        <w:t xml:space="preserve"> 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/>
          <w:bCs/>
          <w:color w:val="auto"/>
          <w:sz w:val="24"/>
          <w:szCs w:val="24"/>
          <w:u w:val="single"/>
        </w:rPr>
        <w:t xml:space="preserve">      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/>
          <w:bCs/>
          <w:color w:val="auto"/>
          <w:sz w:val="24"/>
          <w:szCs w:val="24"/>
          <w:u w:val="single"/>
        </w:rPr>
        <w:t>   </w:t>
      </w:r>
    </w:p>
    <w:p w14:paraId="7557FFCC">
      <w:pPr>
        <w:spacing w:line="360" w:lineRule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/>
          <w:b/>
          <w:bCs/>
          <w:color w:val="auto"/>
          <w:sz w:val="24"/>
          <w:szCs w:val="24"/>
          <w:u w:val="single"/>
        </w:rPr>
        <w:t xml:space="preserve">四川太极大药房连锁有限公司                            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24"/>
          <w:szCs w:val="24"/>
          <w:u w:val="single"/>
        </w:rPr>
        <w:t xml:space="preserve">    </w:t>
      </w:r>
      <w:r>
        <w:rPr>
          <w:rFonts w:hint="eastAsia"/>
          <w:b/>
          <w:bCs/>
          <w:color w:val="auto"/>
          <w:sz w:val="24"/>
          <w:szCs w:val="24"/>
          <w:u w:val="single"/>
          <w:lang w:eastAsia="zh-CN"/>
        </w:rPr>
        <w:t>202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>5</w:t>
      </w:r>
      <w:r>
        <w:rPr>
          <w:rFonts w:hint="eastAsia"/>
          <w:b/>
          <w:bCs/>
          <w:color w:val="auto"/>
          <w:sz w:val="24"/>
          <w:szCs w:val="24"/>
          <w:u w:val="single"/>
          <w:lang w:eastAsia="zh-CN"/>
        </w:rPr>
        <w:t>年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>3</w:t>
      </w:r>
      <w:r>
        <w:rPr>
          <w:rFonts w:hint="eastAsia"/>
          <w:b/>
          <w:bCs/>
          <w:color w:val="auto"/>
          <w:sz w:val="24"/>
          <w:szCs w:val="24"/>
          <w:u w:val="single"/>
          <w:lang w:eastAsia="zh-CN"/>
        </w:rPr>
        <w:t>月</w:t>
      </w:r>
      <w:r>
        <w:rPr>
          <w:rFonts w:hint="eastAsia"/>
          <w:b/>
          <w:bCs/>
          <w:color w:val="auto"/>
          <w:sz w:val="24"/>
          <w:szCs w:val="24"/>
          <w:u w:val="single"/>
          <w:lang w:val="en-US" w:eastAsia="zh-CN"/>
        </w:rPr>
        <w:t>28</w:t>
      </w:r>
      <w:r>
        <w:rPr>
          <w:rFonts w:hint="eastAsia"/>
          <w:b/>
          <w:bCs/>
          <w:color w:val="auto"/>
          <w:sz w:val="24"/>
          <w:szCs w:val="24"/>
          <w:u w:val="single"/>
        </w:rPr>
        <w:t>日印发  </w:t>
      </w:r>
    </w:p>
    <w:p w14:paraId="6D5D413B">
      <w:pPr>
        <w:spacing w:line="360" w:lineRule="auto"/>
        <w:rPr>
          <w:b/>
          <w:bCs/>
          <w:color w:val="auto"/>
          <w:sz w:val="24"/>
          <w:szCs w:val="24"/>
          <w:u w:val="none"/>
        </w:rPr>
      </w:pPr>
      <w:r>
        <w:rPr>
          <w:rFonts w:hint="eastAsia"/>
          <w:b/>
          <w:bCs/>
          <w:color w:val="auto"/>
          <w:sz w:val="24"/>
          <w:szCs w:val="24"/>
          <w:u w:val="none"/>
        </w:rPr>
        <w:t>打印：</w:t>
      </w: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>龚建华</w:t>
      </w:r>
      <w:r>
        <w:rPr>
          <w:rFonts w:hint="eastAsia"/>
          <w:b/>
          <w:bCs/>
          <w:color w:val="auto"/>
          <w:sz w:val="24"/>
          <w:szCs w:val="24"/>
          <w:u w:val="none"/>
        </w:rPr>
        <w:t>        核对：</w:t>
      </w: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>王四维</w:t>
      </w:r>
      <w:r>
        <w:rPr>
          <w:rFonts w:hint="eastAsia"/>
          <w:b/>
          <w:bCs/>
          <w:color w:val="auto"/>
          <w:sz w:val="24"/>
          <w:szCs w:val="24"/>
          <w:u w:val="none"/>
        </w:rPr>
        <w:t xml:space="preserve">                         </w:t>
      </w: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 w:val="24"/>
          <w:szCs w:val="24"/>
          <w:u w:val="none"/>
        </w:rPr>
        <w:t xml:space="preserve"> </w:t>
      </w: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24"/>
          <w:szCs w:val="24"/>
          <w:u w:val="none"/>
        </w:rPr>
        <w:t xml:space="preserve">    </w:t>
      </w: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 w:val="24"/>
          <w:szCs w:val="24"/>
          <w:u w:val="none"/>
        </w:rPr>
        <w:t xml:space="preserve">（共印1份） </w:t>
      </w:r>
    </w:p>
    <w:p w14:paraId="003A3968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</w:p>
    <w:p w14:paraId="19B7F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1"/>
        <w:jc w:val="righ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1A0757"/>
    <w:multiLevelType w:val="singleLevel"/>
    <w:tmpl w:val="891A075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ED4393BD"/>
    <w:multiLevelType w:val="singleLevel"/>
    <w:tmpl w:val="ED4393BD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5745D"/>
    <w:rsid w:val="039C5765"/>
    <w:rsid w:val="04776096"/>
    <w:rsid w:val="05D304F8"/>
    <w:rsid w:val="072B0FB7"/>
    <w:rsid w:val="098A20EA"/>
    <w:rsid w:val="0AB55A76"/>
    <w:rsid w:val="0EFB5712"/>
    <w:rsid w:val="0FA71A5A"/>
    <w:rsid w:val="0FEE01D0"/>
    <w:rsid w:val="12D1335A"/>
    <w:rsid w:val="14382F65"/>
    <w:rsid w:val="19666153"/>
    <w:rsid w:val="1A034F3D"/>
    <w:rsid w:val="1B332E65"/>
    <w:rsid w:val="1CEC0EB0"/>
    <w:rsid w:val="1F7C369B"/>
    <w:rsid w:val="27AA3B5A"/>
    <w:rsid w:val="2992393F"/>
    <w:rsid w:val="2BAE52DD"/>
    <w:rsid w:val="2BF1691F"/>
    <w:rsid w:val="302630E3"/>
    <w:rsid w:val="30637C27"/>
    <w:rsid w:val="30F2692D"/>
    <w:rsid w:val="34DF500B"/>
    <w:rsid w:val="35F9034E"/>
    <w:rsid w:val="3847333A"/>
    <w:rsid w:val="3C0B3A7C"/>
    <w:rsid w:val="3DDE30D7"/>
    <w:rsid w:val="3E2B7513"/>
    <w:rsid w:val="408829FA"/>
    <w:rsid w:val="42AB0C22"/>
    <w:rsid w:val="43220EEE"/>
    <w:rsid w:val="4379376C"/>
    <w:rsid w:val="44B1357F"/>
    <w:rsid w:val="46EC5D4A"/>
    <w:rsid w:val="4ED93909"/>
    <w:rsid w:val="5527238A"/>
    <w:rsid w:val="57144B90"/>
    <w:rsid w:val="5898100E"/>
    <w:rsid w:val="58EC3CC6"/>
    <w:rsid w:val="5AEC3A20"/>
    <w:rsid w:val="5FF073D5"/>
    <w:rsid w:val="60E64E2E"/>
    <w:rsid w:val="62C80D9E"/>
    <w:rsid w:val="65640A91"/>
    <w:rsid w:val="692918DB"/>
    <w:rsid w:val="6B06117A"/>
    <w:rsid w:val="6C0703C8"/>
    <w:rsid w:val="6C6B4DFB"/>
    <w:rsid w:val="6F161492"/>
    <w:rsid w:val="70E05F90"/>
    <w:rsid w:val="74AB7EB0"/>
    <w:rsid w:val="75513B92"/>
    <w:rsid w:val="75DE663D"/>
    <w:rsid w:val="76051E1C"/>
    <w:rsid w:val="76B44C03"/>
    <w:rsid w:val="776B5CAF"/>
    <w:rsid w:val="78191BAF"/>
    <w:rsid w:val="783C004A"/>
    <w:rsid w:val="793D0F00"/>
    <w:rsid w:val="7943506A"/>
    <w:rsid w:val="7BDF6F5F"/>
    <w:rsid w:val="7C9C5F13"/>
    <w:rsid w:val="7E786F03"/>
    <w:rsid w:val="7EDA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font41"/>
    <w:basedOn w:val="4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7">
    <w:name w:val="font31"/>
    <w:basedOn w:val="4"/>
    <w:qFormat/>
    <w:uiPriority w:val="0"/>
    <w:rPr>
      <w:rFonts w:ascii="Calibri" w:hAnsi="Calibri" w:cs="Calibri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1016</Words>
  <Characters>1386</Characters>
  <Lines>0</Lines>
  <Paragraphs>0</Paragraphs>
  <TotalTime>18</TotalTime>
  <ScaleCrop>false</ScaleCrop>
  <LinksUpToDate>false</LinksUpToDate>
  <CharactersWithSpaces>1423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2025-03-14T04:37:00Z</dcterms:created>
  <dc:creator>Administrator</dc:creator>
  <cp:lastModifiedBy>娟儿</cp:lastModifiedBy>
  <cp:lastPrinted>2025-03-21T11:01:00Z</cp:lastPrinted>
  <dcterms:modified xsi:type="dcterms:W3CDTF">2025-03-31T06:28:17Z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eyJoZGlkIjoiNDhmNDlmODEyZGExNTIwZjA2MWUxN2RhMTVkYTdlZDEiLCJ1c2VySWQiOiIyNDc1NDQ2MjEifQ==</vt:lpwstr>
  </property>
  <property fmtid="{D5CDD505-2E9C-101B-9397-08002B2CF9AE}" pid="4" name="ICV">
    <vt:lpwstr>54B4F6C492204B90AEFE157EE4FF7059_13</vt:lpwstr>
  </property>
</Properties>
</file>