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A644F">
      <w:pPr>
        <w:pStyle w:val="2"/>
        <w:bidi w:val="0"/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四川太极大药房连锁有限公司</w:t>
      </w:r>
    </w:p>
    <w:p w14:paraId="70AA2840">
      <w:pPr>
        <w:pStyle w:val="2"/>
        <w:bidi w:val="0"/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</w:rPr>
        <w:t>门店医保</w:t>
      </w:r>
      <w:r>
        <w:rPr>
          <w:rFonts w:hint="eastAsia"/>
          <w:sz w:val="44"/>
          <w:szCs w:val="44"/>
          <w:lang w:val="en-US" w:eastAsia="zh-CN"/>
        </w:rPr>
        <w:t>管理</w:t>
      </w:r>
      <w:r>
        <w:rPr>
          <w:rFonts w:hint="eastAsia"/>
          <w:sz w:val="44"/>
          <w:szCs w:val="44"/>
        </w:rPr>
        <w:t>工作</w:t>
      </w:r>
      <w:r>
        <w:rPr>
          <w:rFonts w:hint="eastAsia"/>
          <w:sz w:val="44"/>
          <w:szCs w:val="44"/>
          <w:lang w:val="en-US" w:eastAsia="zh-CN"/>
        </w:rPr>
        <w:t>操作手册（第一版）</w:t>
      </w:r>
    </w:p>
    <w:p w14:paraId="640FDC36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根据最新签订</w:t>
      </w:r>
      <w:r>
        <w:rPr>
          <w:rFonts w:hint="eastAsia"/>
          <w:sz w:val="28"/>
          <w:szCs w:val="28"/>
          <w:lang w:val="en-US" w:eastAsia="zh-CN"/>
        </w:rPr>
        <w:t>2024年版医保协议，门店应履行以下义务：</w:t>
      </w:r>
    </w:p>
    <w:p w14:paraId="1098BA53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店内需要陈列的标识标牌及宣传（参考样图如下）：</w:t>
      </w:r>
    </w:p>
    <w:p w14:paraId="7D3E6B28">
      <w:pPr>
        <w:numPr>
          <w:ilvl w:val="0"/>
          <w:numId w:val="2"/>
        </w:numPr>
      </w:pPr>
      <w:r>
        <w:rPr>
          <w:rFonts w:hint="eastAsia"/>
          <w:sz w:val="28"/>
          <w:szCs w:val="28"/>
          <w:lang w:eastAsia="zh-CN"/>
        </w:rPr>
        <w:t>店内显眼位置应悬挂</w:t>
      </w:r>
      <w:r>
        <w:rPr>
          <w:rFonts w:hint="eastAsia"/>
          <w:color w:val="FF0000"/>
          <w:sz w:val="28"/>
          <w:szCs w:val="28"/>
          <w:highlight w:val="yellow"/>
          <w:lang w:eastAsia="zh-CN"/>
        </w:rPr>
        <w:t>“定点零售药店标牌”</w:t>
      </w:r>
      <w:r>
        <w:rPr>
          <w:rFonts w:hint="eastAsia"/>
          <w:sz w:val="28"/>
          <w:szCs w:val="28"/>
          <w:lang w:eastAsia="zh-CN"/>
        </w:rPr>
        <w:t>，机构编码应为每个门店对应的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医保编码P码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eastAsia"/>
          <w:sz w:val="28"/>
          <w:szCs w:val="28"/>
          <w:lang w:eastAsia="zh-CN"/>
        </w:rPr>
        <w:br w:type="textWrapping"/>
      </w:r>
      <w:r>
        <w:drawing>
          <wp:inline distT="0" distB="0" distL="114300" distR="114300">
            <wp:extent cx="3883025" cy="2331720"/>
            <wp:effectExtent l="0" t="0" r="31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66F4">
      <w:pPr>
        <w:numPr>
          <w:ilvl w:val="0"/>
          <w:numId w:val="2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店内显眼位置应悬挂</w:t>
      </w:r>
      <w:r>
        <w:rPr>
          <w:rFonts w:hint="eastAsia"/>
          <w:color w:val="FF0000"/>
          <w:sz w:val="28"/>
          <w:szCs w:val="28"/>
          <w:highlight w:val="yellow"/>
          <w:lang w:eastAsia="zh-CN"/>
        </w:rPr>
        <w:t>“医疗保障基金监督举报电话标牌”</w:t>
      </w:r>
      <w:r>
        <w:rPr>
          <w:rFonts w:hint="eastAsia"/>
          <w:sz w:val="28"/>
          <w:szCs w:val="28"/>
          <w:lang w:eastAsia="zh-CN"/>
        </w:rPr>
        <w:t>，电话应对应每个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行政</w:t>
      </w:r>
      <w:r>
        <w:rPr>
          <w:rFonts w:hint="eastAsia"/>
          <w:color w:val="FF0000"/>
          <w:sz w:val="28"/>
          <w:szCs w:val="28"/>
          <w:highlight w:val="yellow"/>
          <w:lang w:eastAsia="zh-CN"/>
        </w:rPr>
        <w:t>区相应的电话号码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  <w:lang w:eastAsia="zh-CN"/>
        </w:rPr>
        <w:br w:type="textWrapping"/>
      </w:r>
      <w:r>
        <w:drawing>
          <wp:inline distT="0" distB="0" distL="114300" distR="114300">
            <wp:extent cx="3726815" cy="2424430"/>
            <wp:effectExtent l="0" t="0" r="698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E54A">
      <w:pPr>
        <w:numPr>
          <w:ilvl w:val="0"/>
          <w:numId w:val="2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收银台应陈列医保电子凭证，</w:t>
      </w:r>
      <w:r>
        <w:rPr>
          <w:rFonts w:hint="eastAsia"/>
          <w:color w:val="FF0000"/>
          <w:sz w:val="28"/>
          <w:szCs w:val="28"/>
          <w:highlight w:val="yellow"/>
          <w:lang w:eastAsia="zh-CN"/>
        </w:rPr>
        <w:t>支付宝或微信二维码</w:t>
      </w:r>
      <w:r>
        <w:rPr>
          <w:rFonts w:hint="eastAsia"/>
          <w:sz w:val="28"/>
          <w:szCs w:val="28"/>
          <w:lang w:eastAsia="zh-CN"/>
        </w:rPr>
        <w:t>。若缺少可自行打印陈列。</w:t>
      </w:r>
    </w:p>
    <w:p w14:paraId="491DB57B"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3401060" cy="2552065"/>
            <wp:effectExtent l="0" t="0" r="635" b="8890"/>
            <wp:docPr id="3" name="图片 3" descr="lQDPJxNXIxBte4HNBaDNB4CwZk4PQ-gWwJsHOHMNKCIL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JxNXIxBte4HNBaDNB4CwZk4PQ-gWwJsHOHMNKCILAA_1920_14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106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3418205" cy="2566035"/>
            <wp:effectExtent l="0" t="0" r="5715" b="10795"/>
            <wp:docPr id="4" name="图片 4" descr="lQDPJw8NYKPoMoHNBaDNB4Cw2S7qVBZvyKsHOHMUn6O2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DPJw8NYKPoMoHNBaDNB4Cw2S7qVBZvyKsHOHMUn6O2AA_1920_14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820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7C29">
      <w:pPr>
        <w:numPr>
          <w:ilvl w:val="0"/>
          <w:numId w:val="2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橱窗或显眼位置是否陈列医保宣传海报，根据店内实际情况选择陈列（</w:t>
      </w:r>
      <w:r>
        <w:rPr>
          <w:rFonts w:hint="eastAsia"/>
          <w:sz w:val="28"/>
          <w:szCs w:val="28"/>
          <w:lang w:val="en-US" w:eastAsia="zh-CN"/>
        </w:rPr>
        <w:t>1-2张海报</w:t>
      </w:r>
      <w:r>
        <w:rPr>
          <w:rFonts w:hint="eastAsia"/>
          <w:sz w:val="28"/>
          <w:szCs w:val="28"/>
          <w:lang w:eastAsia="zh-CN"/>
        </w:rPr>
        <w:t>）。若缺少可自行打印陈列。</w:t>
      </w:r>
    </w:p>
    <w:p w14:paraId="18631AA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03120" cy="3405505"/>
            <wp:effectExtent l="0" t="0" r="11430" b="4445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2200" cy="3331845"/>
            <wp:effectExtent l="0" t="0" r="0" b="1905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5820" cy="3097530"/>
            <wp:effectExtent l="0" t="0" r="17780" b="7620"/>
            <wp:docPr id="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9950" cy="3084830"/>
            <wp:effectExtent l="0" t="0" r="12700" b="1270"/>
            <wp:docPr id="8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6945" cy="3147695"/>
            <wp:effectExtent l="0" t="0" r="1905" b="14605"/>
            <wp:docPr id="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326005" cy="3110230"/>
            <wp:effectExtent l="0" t="0" r="17145" b="13970"/>
            <wp:docPr id="1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5E14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参加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医保局组织的宣传和培训或配合其他工作</w:t>
      </w:r>
      <w:r>
        <w:rPr>
          <w:rFonts w:hint="eastAsia"/>
          <w:b/>
          <w:bCs/>
          <w:sz w:val="28"/>
          <w:szCs w:val="28"/>
          <w:lang w:eastAsia="zh-CN"/>
        </w:rPr>
        <w:t>，参会人员应向其他同事及时转达医保局相关政策，并记录在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培训记录本</w:t>
      </w:r>
      <w:r>
        <w:rPr>
          <w:rFonts w:hint="eastAsia"/>
          <w:b/>
          <w:bCs/>
          <w:sz w:val="28"/>
          <w:szCs w:val="28"/>
          <w:lang w:eastAsia="zh-CN"/>
        </w:rPr>
        <w:t>上。</w:t>
      </w:r>
    </w:p>
    <w:p w14:paraId="10A5FBCB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 w:ascii="宋体" w:hAnsi="宋体" w:cs="宋体" w:eastAsiaTheme="minorEastAsia"/>
          <w:kern w:val="0"/>
          <w:sz w:val="28"/>
          <w:szCs w:val="28"/>
          <w:lang w:eastAsia="zh-CN"/>
        </w:rPr>
        <w:drawing>
          <wp:inline distT="0" distB="0" distL="114300" distR="114300">
            <wp:extent cx="3739515" cy="4986020"/>
            <wp:effectExtent l="0" t="0" r="13335" b="5080"/>
            <wp:docPr id="11" name="图片 11" descr="lQDPJxIIcXVFVMfNEADNDACw1Kc4vuvpoMwG_nmjxeSPAA_3072_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QDPJxIIcXVFVMfNEADNDACw1Kc4vuvpoMwG_nmjxeSPAA_3072_40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E14A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各门店按所属医保局要求，</w:t>
      </w:r>
      <w:r>
        <w:rPr>
          <w:rFonts w:hint="eastAsia"/>
          <w:b/>
          <w:bCs/>
          <w:sz w:val="28"/>
          <w:szCs w:val="28"/>
          <w:lang w:eastAsia="zh-CN"/>
        </w:rPr>
        <w:t>及时向医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保局提供费用结算所需信息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2D6AA674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</w:p>
    <w:p w14:paraId="2F6FA791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每季度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定期盘点</w:t>
      </w:r>
      <w:r>
        <w:rPr>
          <w:rFonts w:hint="eastAsia"/>
          <w:b/>
          <w:bCs/>
          <w:sz w:val="28"/>
          <w:szCs w:val="28"/>
          <w:lang w:eastAsia="zh-CN"/>
        </w:rPr>
        <w:t>，数据可查询。相关凭证（如来货票据）保存至超药品有效期</w:t>
      </w:r>
      <w:r>
        <w:rPr>
          <w:rFonts w:hint="eastAsia"/>
          <w:b/>
          <w:bCs/>
          <w:sz w:val="28"/>
          <w:szCs w:val="28"/>
          <w:lang w:val="en-US" w:eastAsia="zh-CN"/>
        </w:rPr>
        <w:t>1年，但不少于3年。进销存比率应为100%。</w:t>
      </w:r>
    </w:p>
    <w:p w14:paraId="13EF357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84495" cy="1828800"/>
            <wp:effectExtent l="0" t="0" r="190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6E78"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 w14:paraId="142AC398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商品实行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分区管理</w:t>
      </w:r>
      <w:r>
        <w:rPr>
          <w:rFonts w:hint="eastAsia"/>
          <w:b/>
          <w:bCs/>
          <w:sz w:val="28"/>
          <w:szCs w:val="28"/>
          <w:lang w:val="en-US" w:eastAsia="zh-CN"/>
        </w:rPr>
        <w:t>，应有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明确的标识标牌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5C7E27B6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default" w:ascii="宋体" w:hAnsi="宋体" w:cs="宋体"/>
          <w:kern w:val="0"/>
          <w:sz w:val="28"/>
          <w:szCs w:val="28"/>
          <w:lang w:eastAsia="zh-CN"/>
          <w:woUserID w:val="1"/>
        </w:rPr>
        <w:drawing>
          <wp:inline distT="0" distB="0" distL="114300" distR="114300">
            <wp:extent cx="3072765" cy="4097020"/>
            <wp:effectExtent l="0" t="0" r="1333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3923665" cy="2943225"/>
            <wp:effectExtent l="0" t="0" r="635" b="9525"/>
            <wp:docPr id="17" name="图片 17" descr="lQDPJw6vsubAS6nNDADNEACweqoJjGxFIGkHFDRAVi9hAA_4096_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DPJw6vsubAS6nNDADNEACweqoJjGxFIGkHFDRAVi9hAA_4096_30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8329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药械价格应合理，公平，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明码标价</w:t>
      </w:r>
      <w:r>
        <w:rPr>
          <w:rFonts w:hint="eastAsia"/>
          <w:b/>
          <w:bCs/>
          <w:sz w:val="28"/>
          <w:szCs w:val="28"/>
          <w:lang w:eastAsia="zh-CN"/>
        </w:rPr>
        <w:t>，规范开具发票。医保结算购药价格应与店内现金购药价格一致。</w:t>
      </w:r>
    </w:p>
    <w:p w14:paraId="76FA9F34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不得</w:t>
      </w:r>
      <w:r>
        <w:rPr>
          <w:rFonts w:hint="eastAsia"/>
          <w:b/>
          <w:bCs/>
          <w:sz w:val="28"/>
          <w:szCs w:val="28"/>
          <w:lang w:eastAsia="zh-CN"/>
        </w:rPr>
        <w:t>诱导，协助他人冒名或虚假购买药械，不得串通参保人员及第三方骗取，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套取医保基金</w:t>
      </w:r>
      <w:r>
        <w:rPr>
          <w:rFonts w:hint="eastAsia"/>
          <w:b/>
          <w:bCs/>
          <w:sz w:val="28"/>
          <w:szCs w:val="28"/>
          <w:lang w:eastAsia="zh-CN"/>
        </w:rPr>
        <w:t>（刷卡退现）。</w:t>
      </w:r>
    </w:p>
    <w:p w14:paraId="50E5842E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不得</w:t>
      </w:r>
      <w:r>
        <w:rPr>
          <w:rFonts w:hint="eastAsia"/>
          <w:b/>
          <w:bCs/>
          <w:sz w:val="28"/>
          <w:szCs w:val="28"/>
          <w:lang w:eastAsia="zh-CN"/>
        </w:rPr>
        <w:t>收集或空刷参保人员医保凭证，在未真实销售商品的情况下，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骗取医保基金</w:t>
      </w:r>
      <w:r>
        <w:rPr>
          <w:rFonts w:hint="eastAsia"/>
          <w:sz w:val="28"/>
          <w:szCs w:val="28"/>
          <w:lang w:eastAsia="zh-CN"/>
        </w:rPr>
        <w:t>。</w:t>
      </w:r>
    </w:p>
    <w:p w14:paraId="5032EF6F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不得</w:t>
      </w:r>
      <w:r>
        <w:rPr>
          <w:rFonts w:hint="eastAsia"/>
          <w:b/>
          <w:bCs/>
          <w:sz w:val="28"/>
          <w:szCs w:val="28"/>
          <w:lang w:eastAsia="zh-CN"/>
        </w:rPr>
        <w:t>明知该人员预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将购买的商品进行倒卖</w:t>
      </w:r>
      <w:r>
        <w:rPr>
          <w:rFonts w:hint="eastAsia"/>
          <w:b/>
          <w:bCs/>
          <w:sz w:val="28"/>
          <w:szCs w:val="28"/>
          <w:lang w:eastAsia="zh-CN"/>
        </w:rPr>
        <w:t>还仍向其销售使用医保基金结算。</w:t>
      </w:r>
    </w:p>
    <w:p w14:paraId="3BB680BE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不得</w:t>
      </w:r>
      <w:r>
        <w:rPr>
          <w:rFonts w:hint="eastAsia"/>
          <w:b/>
          <w:bCs/>
          <w:sz w:val="28"/>
          <w:szCs w:val="28"/>
          <w:lang w:eastAsia="zh-CN"/>
        </w:rPr>
        <w:t>私自通过其他渠道购买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“回流”药品并进行二次销售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07BA8CB9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处方药应凭处方，执业药师审方后销售</w:t>
      </w:r>
      <w:r>
        <w:rPr>
          <w:rFonts w:hint="eastAsia"/>
          <w:b/>
          <w:bCs/>
          <w:sz w:val="28"/>
          <w:szCs w:val="28"/>
          <w:lang w:eastAsia="zh-CN"/>
        </w:rPr>
        <w:t>，外配处方（纸质处方）必须由定点医疗机构医师开具，符合《处方管理办法（试行）》。不得伪造，涂改处方。特药及门诊统筹按相关规定执行。</w:t>
      </w:r>
    </w:p>
    <w:p w14:paraId="37AA90A6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不得将参保人员个人账户资金支付范围以外的费用</w:t>
      </w:r>
      <w:r>
        <w:rPr>
          <w:rFonts w:hint="eastAsia"/>
          <w:b/>
          <w:bCs/>
          <w:sz w:val="28"/>
          <w:szCs w:val="28"/>
          <w:lang w:eastAsia="zh-CN"/>
        </w:rPr>
        <w:t>。（如化妆品，日用品，保健品等）。不得将非医保支付商品串换成医保商品，倒卖医保商品。</w:t>
      </w:r>
    </w:p>
    <w:p w14:paraId="447712D3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对同一社保卡或电子凭证一次性支付费用在</w:t>
      </w:r>
      <w:r>
        <w:rPr>
          <w:rFonts w:hint="eastAsia"/>
          <w:b/>
          <w:bCs/>
          <w:sz w:val="28"/>
          <w:szCs w:val="28"/>
          <w:lang w:val="en-US" w:eastAsia="zh-CN"/>
        </w:rPr>
        <w:t>800元及以上，或同一社保卡</w:t>
      </w:r>
      <w:r>
        <w:rPr>
          <w:rFonts w:hint="eastAsia"/>
          <w:b/>
          <w:bCs/>
          <w:sz w:val="28"/>
          <w:szCs w:val="28"/>
          <w:lang w:eastAsia="zh-CN"/>
        </w:rPr>
        <w:t>或电子凭证同一天在店上累计支付</w:t>
      </w:r>
      <w:r>
        <w:rPr>
          <w:rFonts w:hint="eastAsia"/>
          <w:b/>
          <w:bCs/>
          <w:sz w:val="28"/>
          <w:szCs w:val="28"/>
          <w:lang w:val="en-US" w:eastAsia="zh-CN"/>
        </w:rPr>
        <w:t>1000元及以上的，应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查验参保人员或代购人的身份证，登记该人员的姓名，身份证号，联系电话</w:t>
      </w:r>
      <w:r>
        <w:rPr>
          <w:rFonts w:hint="eastAsia"/>
          <w:b/>
          <w:bCs/>
          <w:sz w:val="28"/>
          <w:szCs w:val="28"/>
          <w:lang w:val="en-US" w:eastAsia="zh-CN"/>
        </w:rPr>
        <w:t>等信息。有必要时可留存参保人员或代购人的身份证复印件。</w:t>
      </w:r>
    </w:p>
    <w:p w14:paraId="06542142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312410" cy="2443480"/>
            <wp:effectExtent l="0" t="0" r="2540" b="13970"/>
            <wp:docPr id="18" name="图片 18" descr="lQDPJw47SLdINsfNDADNEACwERkafMw4p9AG_nmlx1PcAA_4096_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QDPJw47SLdINsfNDADNEACwERkafMw4p9AG_nmlx1PcAA_4096_30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1D4F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英克系统下账品种与银海刷卡系统下账品种一致</w:t>
      </w:r>
      <w:r>
        <w:rPr>
          <w:rFonts w:hint="eastAsia"/>
          <w:b/>
          <w:bCs/>
          <w:sz w:val="28"/>
          <w:szCs w:val="28"/>
          <w:lang w:eastAsia="zh-CN"/>
        </w:rPr>
        <w:t>，先在银海系统下账再在英克系统下账。</w:t>
      </w:r>
    </w:p>
    <w:p w14:paraId="7D53CFE9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医保刷卡计算机应专网专用</w:t>
      </w:r>
      <w:r>
        <w:rPr>
          <w:rFonts w:hint="eastAsia"/>
          <w:b/>
          <w:bCs/>
          <w:sz w:val="28"/>
          <w:szCs w:val="28"/>
          <w:lang w:eastAsia="zh-CN"/>
        </w:rPr>
        <w:t>，不得连接其他网络。门店至少需要两台电脑，与其他外部网络物理隔离。</w:t>
      </w:r>
    </w:p>
    <w:p w14:paraId="6913CE33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default" w:ascii="宋体" w:hAnsi="宋体" w:cs="宋体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3630295" cy="4840605"/>
            <wp:effectExtent l="0" t="0" r="8255" b="17145"/>
            <wp:docPr id="15" name="图片 15" descr="IMG_20241104_15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104_1552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2DDE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不得无正当理由拒绝参保人正常医保结算。</w:t>
      </w:r>
      <w:r>
        <w:rPr>
          <w:rFonts w:hint="eastAsia"/>
          <w:b/>
          <w:bCs/>
          <w:sz w:val="28"/>
          <w:szCs w:val="28"/>
          <w:lang w:eastAsia="zh-CN"/>
        </w:rPr>
        <w:t>并应向参保人提供相关咨询服务，用药安全告知等。</w:t>
      </w:r>
    </w:p>
    <w:p w14:paraId="79CF602D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公司总部设立医保管理员，每个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门店医保兼职管理人员为店长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7166A015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应向参保人员提供药械费用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结算清单，标识医保支付费用</w:t>
      </w:r>
      <w:r>
        <w:rPr>
          <w:rFonts w:hint="eastAsia"/>
          <w:b/>
          <w:bCs/>
          <w:sz w:val="28"/>
          <w:szCs w:val="28"/>
          <w:lang w:eastAsia="zh-CN"/>
        </w:rPr>
        <w:t>。（即医保结算小票）</w:t>
      </w:r>
    </w:p>
    <w:p w14:paraId="530F3BB9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514850" cy="6021705"/>
            <wp:effectExtent l="0" t="0" r="0" b="17145"/>
            <wp:docPr id="22" name="图片 22" descr="f2f5480d481e4711c3bcceba5e2d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2f5480d481e4711c3bcceba5e2d4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0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463A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医保定点药店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不得帮助非定点药店或者暂停协议的药店刷卡</w:t>
      </w:r>
      <w:r>
        <w:rPr>
          <w:rFonts w:hint="eastAsia"/>
          <w:b/>
          <w:bCs/>
          <w:sz w:val="28"/>
          <w:szCs w:val="28"/>
          <w:lang w:eastAsia="zh-CN"/>
        </w:rPr>
        <w:t>结算。</w:t>
      </w:r>
    </w:p>
    <w:p w14:paraId="6830EA89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医保局到店例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行检查时，门店不得拒绝，阻拦，不配合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192637CC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按医保局要求上传追溯码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49CA6E28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304790" cy="3978275"/>
            <wp:effectExtent l="0" t="0" r="10160" b="3175"/>
            <wp:docPr id="21" name="图片 21" descr="975f5b3b38f9cc35cff59196482d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75f5b3b38f9cc35cff59196482da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31DF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银海系统执业药师注册是否与注册在店内药师一致。</w:t>
      </w:r>
    </w:p>
    <w:p w14:paraId="03082DB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05525" cy="1861185"/>
            <wp:effectExtent l="0" t="0" r="9525" b="571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A02C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46530" cy="2201545"/>
            <wp:effectExtent l="0" t="0" r="1270" b="8255"/>
            <wp:docPr id="20" name="图片 20" descr="金马河2026.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金马河2026.8.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0344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门诊统筹补充协议相关义务：</w:t>
      </w:r>
    </w:p>
    <w:p w14:paraId="110D9499">
      <w:pPr>
        <w:numPr>
          <w:ilvl w:val="0"/>
          <w:numId w:val="3"/>
        </w:numPr>
        <w:ind w:leftChars="0"/>
        <w:rPr>
          <w:rFonts w:hint="eastAsia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不得诱导参保人空刷医保凭证，年度突击刷卡。</w:t>
      </w:r>
    </w:p>
    <w:p w14:paraId="7A35D359">
      <w:pPr>
        <w:numPr>
          <w:ilvl w:val="0"/>
          <w:numId w:val="3"/>
        </w:numPr>
        <w:ind w:leftChars="0"/>
        <w:rPr>
          <w:rFonts w:hint="default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不得将不符合药品目录中医保支付条件的药品纳入结算。</w:t>
      </w:r>
    </w:p>
    <w:p w14:paraId="38C0C850">
      <w:pPr>
        <w:numPr>
          <w:ilvl w:val="0"/>
          <w:numId w:val="3"/>
        </w:numPr>
        <w:ind w:leftChars="0"/>
        <w:rPr>
          <w:rFonts w:hint="default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不得将单方不予支付的中药饮片组合销售。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4. 不得超品种挂网价结算。</w:t>
      </w:r>
    </w:p>
    <w:p w14:paraId="5185E10A">
      <w:pPr>
        <w:numPr>
          <w:ilvl w:val="0"/>
          <w:numId w:val="0"/>
        </w:numPr>
        <w:rPr>
          <w:rFonts w:hint="default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5. 不得诱导参保人超量购药结算。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6. 不得执业药师不在岗仍进行统筹结算。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7. 限定品种除须审核处方合规还需提供医院诊断等相关证明材料。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8. 社保系统须正确录入处方、患者、医院等信息，结算数量不得大于处方数量。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9. 严格审核处方真实性及合规性。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10. 严格审核购药人身份，须实名报销，不得跨性别报销，不得超年龄报销。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11. 外配处方需盖“外配处方专用章”或医院鲜章。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12. 异地医保自动统筹报销参照成都市门诊统筹要求执行：有疑问可咨询顾客所在地医保局后按当地政策执行。</w:t>
      </w:r>
    </w:p>
    <w:p w14:paraId="457BEFB7">
      <w:pPr>
        <w:numPr>
          <w:ilvl w:val="0"/>
          <w:numId w:val="0"/>
        </w:numPr>
        <w:rPr>
          <w:rFonts w:hint="eastAsia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 xml:space="preserve">13. </w:t>
      </w:r>
      <w:r>
        <w:rPr>
          <w:rFonts w:hint="default"/>
          <w:color w:val="FF0000"/>
          <w:sz w:val="28"/>
          <w:szCs w:val="28"/>
          <w:highlight w:val="yellow"/>
          <w:lang w:val="en-US" w:eastAsia="zh-CN"/>
        </w:rPr>
        <w:t>门诊统筹每笔是否登记并装订，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每张</w:t>
      </w:r>
      <w:r>
        <w:rPr>
          <w:rFonts w:hint="default"/>
          <w:color w:val="FF0000"/>
          <w:sz w:val="28"/>
          <w:szCs w:val="28"/>
          <w:highlight w:val="yellow"/>
          <w:lang w:val="en-US" w:eastAsia="zh-CN"/>
        </w:rPr>
        <w:t>处方是否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经本店驻店药师审核</w:t>
      </w:r>
      <w:r>
        <w:rPr>
          <w:rFonts w:hint="default"/>
          <w:color w:val="FF0000"/>
          <w:sz w:val="28"/>
          <w:szCs w:val="28"/>
          <w:highlight w:val="yellow"/>
          <w:lang w:val="en-US" w:eastAsia="zh-CN"/>
        </w:rPr>
        <w:t>签字并与医保结算单及销售小票一起装订存档备查。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</w:p>
    <w:p w14:paraId="7AA890C0">
      <w:pPr>
        <w:numPr>
          <w:ilvl w:val="0"/>
          <w:numId w:val="0"/>
        </w:numPr>
        <w:rPr>
          <w:rFonts w:hint="default"/>
          <w:color w:val="FF0000"/>
          <w:sz w:val="28"/>
          <w:szCs w:val="28"/>
          <w:highlight w:val="yellow"/>
          <w:lang w:val="en-US" w:eastAsia="zh-CN"/>
        </w:rPr>
      </w:pPr>
      <w:bookmarkStart w:id="0" w:name="_GoBack"/>
      <w:bookmarkEnd w:id="0"/>
    </w:p>
    <w:p w14:paraId="61222B56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    质管部</w:t>
      </w:r>
    </w:p>
    <w:p w14:paraId="69175BA4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2025年1月27日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A3586E"/>
    <w:multiLevelType w:val="singleLevel"/>
    <w:tmpl w:val="E2A3586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15E45D0"/>
    <w:multiLevelType w:val="singleLevel"/>
    <w:tmpl w:val="015E45D0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2">
    <w:nsid w:val="5BFB94C9"/>
    <w:multiLevelType w:val="singleLevel"/>
    <w:tmpl w:val="5BFB94C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75673E"/>
    <w:rsid w:val="181A5AD6"/>
    <w:rsid w:val="18407AC9"/>
    <w:rsid w:val="191C7BBB"/>
    <w:rsid w:val="22001566"/>
    <w:rsid w:val="2B942D1F"/>
    <w:rsid w:val="2E903C71"/>
    <w:rsid w:val="2F4D1B62"/>
    <w:rsid w:val="3C81109D"/>
    <w:rsid w:val="43F403A7"/>
    <w:rsid w:val="4A066786"/>
    <w:rsid w:val="53D55AFF"/>
    <w:rsid w:val="579C771A"/>
    <w:rsid w:val="59A55F73"/>
    <w:rsid w:val="6602681A"/>
    <w:rsid w:val="66C739CD"/>
    <w:rsid w:val="71BE2338"/>
    <w:rsid w:val="742F2BB2"/>
    <w:rsid w:val="75FC5EF6"/>
    <w:rsid w:val="79C142AC"/>
    <w:rsid w:val="7C0C478B"/>
    <w:rsid w:val="7D657644"/>
    <w:rsid w:val="7F3A764D"/>
    <w:rsid w:val="7F3D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1486</Words>
  <Characters>1517</Characters>
  <Lines>0</Lines>
  <Paragraphs>0</Paragraphs>
  <TotalTime>14</TotalTime>
  <ScaleCrop>false</ScaleCrop>
  <LinksUpToDate>false</LinksUpToDate>
  <CharactersWithSpaces>1581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2025-01-22T03:20:00Z</dcterms:created>
  <dc:creator>Administrator</dc:creator>
  <cp:lastModifiedBy>英英</cp:lastModifiedBy>
  <dcterms:modified xsi:type="dcterms:W3CDTF">2025-01-27T02:23:45Z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eyJoZGlkIjoiN2QxNDM3YjUxMjZkMWYwZDNmNzk1OTc2N2YyYjE4Y2MiLCJ1c2VySWQiOiI0ODYzNjMyNjUifQ==</vt:lpwstr>
  </property>
  <property fmtid="{D5CDD505-2E9C-101B-9397-08002B2CF9AE}" pid="4" name="ICV">
    <vt:lpwstr>468672D02723418ABF98B94717BF58F3_13</vt:lpwstr>
  </property>
</Properties>
</file>