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8283">
      <w:pPr>
        <w:jc w:val="both"/>
        <w:rPr>
          <w:rFonts w:hint="eastAsia" w:ascii="仿宋" w:hAnsi="仿宋" w:eastAsia="仿宋" w:cs="仿宋"/>
          <w:b/>
          <w:bCs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商品部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</w:t>
      </w:r>
      <w:r>
        <w:rPr>
          <w:rFonts w:hint="eastAsia" w:ascii="仿宋" w:hAnsi="仿宋" w:eastAsia="仿宋" w:cs="仿宋"/>
          <w:b/>
          <w:bCs/>
          <w:sz w:val="32"/>
        </w:rPr>
        <w:t>【20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002</w:t>
      </w:r>
      <w:r>
        <w:rPr>
          <w:rFonts w:hint="eastAsia" w:ascii="仿宋" w:hAnsi="仿宋" w:eastAsia="仿宋" w:cs="仿宋"/>
          <w:b/>
          <w:bCs/>
          <w:sz w:val="32"/>
        </w:rPr>
        <w:t xml:space="preserve">号 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</w:rPr>
        <w:t xml:space="preserve">   签发人：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谭莉杨</w:t>
      </w:r>
    </w:p>
    <w:p w14:paraId="1ECCC953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关于规范商品调拨流程</w:t>
      </w:r>
    </w:p>
    <w:p w14:paraId="16E79748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及注意事项的通知</w:t>
      </w:r>
    </w:p>
    <w:p w14:paraId="2221469F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为合理控制库存数量及库存结构，降低存货数量和存货 损失，加快库存周转，缩短周转周期，减少资金积压。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现将商品调拨作出以下规范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</w:p>
    <w:p w14:paraId="4282D893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调拨品种原则</w:t>
      </w:r>
    </w:p>
    <w:p w14:paraId="02039089"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以公司整体利益为重，各门店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必须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服从公司统一调拨调配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，货、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单同行，不能二次销售的商品不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调拨。（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做调拨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例如：外包装破损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、外包装变色、包装带粘贴物、电脑批号与实际批号不符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） </w:t>
      </w:r>
    </w:p>
    <w:p w14:paraId="550CF74C"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需调出的商品为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180天不动销品种、大库存、大金额品种、可销天数超90天品种，其中可销天数大于180天品种优先安排调出，库存周转超标的门店优先安排调拨。</w:t>
      </w:r>
    </w:p>
    <w:p w14:paraId="2E7D00D1"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调入门店筛选是按照调出品种的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60天销售数量、库存数量、且调出品种可销天数在0-20天的门店纳入调入门店的范围。</w:t>
      </w:r>
    </w:p>
    <w:p w14:paraId="7BC58111"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商品部调拨品种与片区调拨品种不冲突，片区调拨工作按片长要求继续执行。</w:t>
      </w:r>
    </w:p>
    <w:p w14:paraId="33B693A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调拨流程方式 </w:t>
      </w:r>
    </w:p>
    <w:p w14:paraId="5D3EEA1D">
      <w:pPr>
        <w:numPr>
          <w:ilvl w:val="0"/>
          <w:numId w:val="3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商品部每日根据商品调拨原则协助库存金额超标的门店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或公司库存超标品种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做出调拨安排，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负责调拨的人员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每日调拨数量不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20个品种，并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在每日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18:30左右发送调拨明细的邮件及总结当日调拨数据，请门店在当日下班前或次日9:30前查看邮件，并在次日交接班前完成调拨工作。</w:t>
      </w:r>
    </w:p>
    <w:p w14:paraId="7A64C2F9">
      <w:pPr>
        <w:numPr>
          <w:ilvl w:val="0"/>
          <w:numId w:val="3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调出门店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应在规定时间（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个工作日） 内调出货品，完成配送调拨出库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操作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调入门店在收到货后12小时需收货入库，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公司将定期检核，如未按邮件要求执行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调出调入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的门店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上缴成长金 20 元。</w:t>
      </w:r>
    </w:p>
    <w:p w14:paraId="37C9EDAC">
      <w:pPr>
        <w:numPr>
          <w:ilvl w:val="0"/>
          <w:numId w:val="3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为防止调拨的货品和报警生成的计划重复，请门店严格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要货计划，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在请货之前查收调拨邮件是否有品种与计划重复，重复的一定要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点击作废或修改请货数量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确保计划合理性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312A0F">
      <w:pPr>
        <w:numPr>
          <w:ilvl w:val="0"/>
          <w:numId w:val="3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调入门店每月至少两次定期查询调拨品种在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的销售情况，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优先销售调拨品种批号，若60天内调入门店未动销请及时电话沟通相关门店是否调回，或二次调拨到其他门店（无法处理的品种请及时联系商品部）。</w:t>
      </w:r>
    </w:p>
    <w:p w14:paraId="67E92DA6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商品部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调拨人员负责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在每周一检查上周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相关门店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调拨情况，调出门店是否按时调拨，调入门店是否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收货并进行通报。</w:t>
      </w:r>
    </w:p>
    <w:p w14:paraId="70F2FB9A">
      <w:pPr>
        <w:numPr>
          <w:ilvl w:val="0"/>
          <w:numId w:val="3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商品部调拨人员负责每月两次查询调拨货品的销售情况，若60天内无动销，但发现该品种仍然有请货、销售记录，导致调拨货品成为滞销效期由调入门店自行承担损失。</w:t>
      </w:r>
    </w:p>
    <w:p w14:paraId="65A8DBCF">
      <w:pPr>
        <w:numPr>
          <w:ilvl w:val="0"/>
          <w:numId w:val="3"/>
        </w:numPr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如商品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发生以下情况：调拨数量与实际收货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不一致、外包装破损、外包装变色、外包装上粘贴标签无法清理（如下图）、实物批号与调拨批号不一致，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收货门店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可直接拒收，退回原门店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D284C6D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993390" cy="2706370"/>
            <wp:effectExtent l="0" t="0" r="0" b="0"/>
            <wp:docPr id="1" name="图片 1" descr="7AB7618D-C3F4-4858-BA97-13609E759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B7618D-C3F4-4858-BA97-13609E7598DD"/>
                    <pic:cNvPicPr>
                      <a:picLocks noChangeAspect="1"/>
                    </pic:cNvPicPr>
                  </pic:nvPicPr>
                  <pic:blipFill>
                    <a:blip r:embed="rId4"/>
                    <a:srcRect b="25568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C5B7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调拨注意事项 </w:t>
      </w:r>
    </w:p>
    <w:p w14:paraId="1AB3F92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调拨单必须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以下格式填写完成并打印装订在货品内。（调拨单格式健附件一）</w:t>
      </w:r>
    </w:p>
    <w:p w14:paraId="231F24D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3820795" cy="3424555"/>
            <wp:effectExtent l="0" t="0" r="8255" b="4445"/>
            <wp:docPr id="2" name="图片 2" descr="IMG_20240919_16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19_165416"/>
                    <pic:cNvPicPr>
                      <a:picLocks noChangeAspect="1"/>
                    </pic:cNvPicPr>
                  </pic:nvPicPr>
                  <pic:blipFill>
                    <a:blip r:embed="rId5"/>
                    <a:srcRect l="3228" t="5351" r="6974" b="7452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25349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2、调拨货品必须在外包装上注明“XX 店调至 XX 店代 销”，且打印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调拨单两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份（调出店、收货店）各一份。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物流按照外包装上备注的调拨信息，打印调拨单据粘贴配送至调入门店，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门店一定要注明调拨信息。</w:t>
      </w:r>
    </w:p>
    <w:p w14:paraId="57012AB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3、为规避大金额品种调拨风险，该类品种由调出门店携带货品及调拨单至调入门店接收并亲手交接，或可在集中开会时交换调拨货品。</w:t>
      </w:r>
    </w:p>
    <w:p w14:paraId="498720D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若未按上述要求调拨操作，调出门店应承担所有商品损失。</w:t>
      </w:r>
    </w:p>
    <w:p w14:paraId="2F21F93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各门店应积极配合公司发出的调拨邮件执行调拨， 不得私自“拒收”、“拒绝调出”、“修改调货数量或批号”等，否则上缴成长金 20 元。（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特殊情况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：①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若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未收到货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应在邮件发出 18 小时内电话沟通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商品部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进行协调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，并给出拒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收的原因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截图凭证，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由商品部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评估是否可拒绝。②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若已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收到货后，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有任何意见反馈，欢迎提供相关凭证给商品员，由商品部来协调解决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 w14:paraId="69FC8FF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一般情况下，由公司协调店间调货品种一年之内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效期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商品不参与调拨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。特殊品种效期会单独通知到调入门店，调入门店同意后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进行调拨。</w:t>
      </w:r>
    </w:p>
    <w:p w14:paraId="631B40DD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如有商品因搞活动备货，活动结束后如还有大量库 存，应及时报给公司进行调拨，如因门店自身原因造成门店 品种库存较大的情况，可上报公司进行调配，每个品种上缴 20 元成长金。</w:t>
      </w:r>
    </w:p>
    <w:p w14:paraId="03A5BF1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7、本通知各项要求，自通知发文之日起执行！</w:t>
      </w:r>
    </w:p>
    <w:p w14:paraId="7FE0EE50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5DB0AF1F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4D0FD0B9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3C6A9DD9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1229AE97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7D896AB8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129AEEEE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4596A796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75C3E3A7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14CCFBF5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4F65A229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66977EB0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6023AD84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70A12816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6596D5EC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3F9B6209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1563D435"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 w14:paraId="1E54CA36">
      <w:pPr>
        <w:jc w:val="both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主题词：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调拨 原则 流程 注意事项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</w:t>
      </w:r>
    </w:p>
    <w:p w14:paraId="6360A5D6"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 w14:paraId="520881A8">
      <w:pPr>
        <w:pStyle w:val="4"/>
        <w:ind w:left="0" w:leftChars="0" w:firstLine="0" w:firstLineChars="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吴洪瑶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何莉莎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（共印1份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03F76"/>
    <w:multiLevelType w:val="singleLevel"/>
    <w:tmpl w:val="37A03F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6A8D63"/>
    <w:multiLevelType w:val="singleLevel"/>
    <w:tmpl w:val="4D6A8D6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1DDB52"/>
    <w:multiLevelType w:val="singleLevel"/>
    <w:tmpl w:val="591DDB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8EE222F"/>
    <w:rsid w:val="08DC58E5"/>
    <w:rsid w:val="18EE222F"/>
    <w:rsid w:val="24305A06"/>
    <w:rsid w:val="2D1760D1"/>
    <w:rsid w:val="2F171C9D"/>
    <w:rsid w:val="33400BAF"/>
    <w:rsid w:val="5088583B"/>
    <w:rsid w:val="55872E29"/>
    <w:rsid w:val="5AEB5C08"/>
    <w:rsid w:val="600357A2"/>
    <w:rsid w:val="62570027"/>
    <w:rsid w:val="6FA333B6"/>
    <w:rsid w:val="72DA05E4"/>
    <w:rsid w:val="73B17B2D"/>
    <w:rsid w:val="7C2B4F7D"/>
    <w:rsid w:val="7CA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1617</Characters>
  <Lines>0</Lines>
  <Paragraphs>0</Paragraphs>
  <TotalTime>17</TotalTime>
  <ScaleCrop>false</ScaleCrop>
  <LinksUpToDate>false</LinksUpToDate>
  <CharactersWithSpaces>1781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2024-09-19T02:08:00Z</dcterms:created>
  <dc:creator>WPS_1585206155</dc:creator>
  <cp:lastModifiedBy>WPS_1585206155</cp:lastModifiedBy>
  <cp:lastPrinted>2024-09-19T07:33:00Z</cp:lastPrinted>
  <dcterms:modified xsi:type="dcterms:W3CDTF">2024-09-19T08:59:17Z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F4D8235EE4624E60B2FF84CA56CC3096_11</vt:lpwstr>
  </property>
</Properties>
</file>