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807" w:hanging="1807" w:hangingChars="6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eastAsia="zh-CN"/>
        </w:rPr>
        <w:t>【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2024】126号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</w:p>
    <w:p>
      <w:pPr>
        <w:numPr>
          <w:ilvl w:val="0"/>
          <w:numId w:val="0"/>
        </w:numPr>
        <w:ind w:left="2396" w:leftChars="760" w:hanging="800" w:hangingChars="2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90天内效期品种清零激励方案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为帮助各门店提升效期品种销售，减轻效期压力，为销售实现良性循环，现制定90天内效期品种清零激励方案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一、执行范围：所有直营门店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二、活动目标：门店保管账无90天内效期帐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color w:val="0000FF"/>
          <w:sz w:val="24"/>
          <w:szCs w:val="32"/>
          <w:lang w:val="en-US" w:eastAsia="zh-CN"/>
        </w:rPr>
        <w:t>例：截止2024年6月30日，保管账不能出现7月1日-9月30日内效期品种（以此类推）</w:t>
      </w:r>
      <w:r>
        <w:rPr>
          <w:rFonts w:hint="eastAsia"/>
          <w:color w:val="0000FF"/>
          <w:sz w:val="24"/>
          <w:szCs w:val="32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三、考核时间：2024年6月-12月31号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四、考核细则：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1、每个自然月最后一天进行统计数据统计及考核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2、每月1号进行考核通报（节假日顺延）</w:t>
      </w:r>
    </w:p>
    <w:p>
      <w:pPr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3、激励政策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①6月30日、7月31日，分别进行考核，若完成当期90天效期清零工作，则分别奖励片区主管奖励400元/月（全职）/200元/月（兼职），A/B/C类门店分别奖励400/300/200元/月。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②8月起进行负激励考核，若在每个自然月考核周期内未完成90天效期清零，则A/B/C类门店分别上交成长金200/150/50元。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③每个考核周期内未完成清零的门店，90天内效期品种由片区主管在一周内全部下账，由门店承担下账金额。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 xml:space="preserve">     此方案即日起开始执行，请各门店打印学习，争取尽早完成90天效期清零工作。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90天效期品种                         激励政策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刘美玲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65D0456"/>
    <w:rsid w:val="07B27B2B"/>
    <w:rsid w:val="09CB7BCF"/>
    <w:rsid w:val="19F25FC8"/>
    <w:rsid w:val="1B7A30A0"/>
    <w:rsid w:val="281122C4"/>
    <w:rsid w:val="2B736865"/>
    <w:rsid w:val="397651BB"/>
    <w:rsid w:val="431A49A1"/>
    <w:rsid w:val="503203FF"/>
    <w:rsid w:val="56F83DDC"/>
    <w:rsid w:val="582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505</Characters>
  <Lines>0</Lines>
  <Paragraphs>0</Paragraphs>
  <TotalTime>3</TotalTime>
  <ScaleCrop>false</ScaleCrop>
  <LinksUpToDate>false</LinksUpToDate>
  <CharactersWithSpaces>591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2024-06-12T01:31:00Z</dcterms:created>
  <dc:creator>TJ</dc:creator>
  <cp:lastModifiedBy>Administrator</cp:lastModifiedBy>
  <cp:lastPrinted>2024-06-12T11:54:00Z</cp:lastPrinted>
  <dcterms:modified xsi:type="dcterms:W3CDTF">2024-06-21T01:36:56Z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DFE58438AC1F4511A629AF74CBE1B15C_12</vt:lpwstr>
  </property>
</Properties>
</file>