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00" w:line="60" w:lineRule="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慢病</w:t>
      </w:r>
      <w:r>
        <w:rPr>
          <w:rFonts w:hint="eastAsia" w:ascii="宋体" w:hAnsi="宋体" w:eastAsia="宋体" w:cs="宋体"/>
          <w:b/>
          <w:bCs/>
          <w:sz w:val="32"/>
          <w:szCs w:val="32"/>
        </w:rPr>
        <w:t>部发〔202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〕0</w:t>
      </w:r>
      <w:r>
        <w:rPr>
          <w:rFonts w:hint="eastAsia" w:ascii="宋体" w:hAnsi="宋体" w:eastAsia="宋体" w:cs="宋体"/>
          <w:b/>
          <w:bCs/>
          <w:sz w:val="32"/>
          <w:szCs w:val="32"/>
          <w:lang w:val="en-US" w:eastAsia="zh-CN"/>
        </w:rPr>
        <w:t>0</w:t>
      </w:r>
      <w:r>
        <w:rPr>
          <w:rFonts w:hint="eastAsia" w:ascii="宋体" w:hAnsi="宋体" w:cs="宋体"/>
          <w:b/>
          <w:bCs/>
          <w:sz w:val="32"/>
          <w:szCs w:val="32"/>
          <w:lang w:val="en-US" w:eastAsia="zh-CN"/>
        </w:rPr>
        <w:t>7</w:t>
      </w:r>
      <w:r>
        <w:rPr>
          <w:rFonts w:hint="eastAsia" w:ascii="宋体" w:hAnsi="宋体" w:eastAsia="宋体" w:cs="宋体"/>
          <w:b/>
          <w:bCs/>
          <w:sz w:val="32"/>
          <w:szCs w:val="32"/>
        </w:rPr>
        <w:t xml:space="preserve">号        </w:t>
      </w:r>
      <w:bookmarkStart w:id="0" w:name="_GoBack"/>
      <w:bookmarkEnd w:id="0"/>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签发人：</w:t>
      </w:r>
      <w:r>
        <w:rPr>
          <w:rFonts w:hint="eastAsia" w:ascii="宋体" w:hAnsi="宋体" w:cs="宋体"/>
          <w:b/>
          <w:bCs/>
          <w:sz w:val="32"/>
          <w:szCs w:val="32"/>
          <w:lang w:eastAsia="zh-CN"/>
        </w:rPr>
        <w:t>刘晓清</w:t>
      </w:r>
    </w:p>
    <w:p>
      <w:pPr>
        <w:pStyle w:val="2"/>
        <w:bidi w:val="0"/>
        <w:jc w:val="center"/>
        <w:rPr>
          <w:rFonts w:hint="eastAsia" w:ascii="宋体" w:hAnsi="宋体" w:eastAsia="宋体" w:cs="宋体"/>
          <w:sz w:val="32"/>
          <w:szCs w:val="32"/>
          <w:lang w:eastAsia="zh-CN"/>
        </w:rPr>
      </w:pPr>
      <w:r>
        <w:rPr>
          <w:rFonts w:hint="eastAsia" w:ascii="宋体" w:hAnsi="宋体" w:eastAsia="宋体" w:cs="宋体"/>
          <w:sz w:val="32"/>
          <w:szCs w:val="32"/>
        </w:rPr>
        <w:t>关于</w:t>
      </w:r>
      <w:r>
        <w:rPr>
          <w:rFonts w:hint="eastAsia" w:ascii="宋体" w:hAnsi="宋体" w:eastAsia="宋体" w:cs="宋体"/>
          <w:sz w:val="32"/>
          <w:szCs w:val="32"/>
          <w:lang w:eastAsia="zh-CN"/>
        </w:rPr>
        <w:t>观音桥和旗舰店门诊统筹</w:t>
      </w:r>
      <w:r>
        <w:rPr>
          <w:rFonts w:hint="eastAsia" w:ascii="宋体" w:hAnsi="宋体" w:eastAsia="宋体" w:cs="宋体"/>
          <w:sz w:val="32"/>
          <w:szCs w:val="32"/>
        </w:rPr>
        <w:t>检查的</w:t>
      </w:r>
      <w:r>
        <w:rPr>
          <w:rFonts w:hint="eastAsia" w:ascii="宋体" w:hAnsi="宋体" w:eastAsia="宋体" w:cs="宋体"/>
          <w:sz w:val="32"/>
          <w:szCs w:val="32"/>
          <w:lang w:eastAsia="zh-CN"/>
        </w:rPr>
        <w:t>通知</w:t>
      </w:r>
    </w:p>
    <w:p>
      <w:pPr>
        <w:tabs>
          <w:tab w:val="left" w:pos="291"/>
        </w:tabs>
        <w:spacing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各片区及门店：</w:t>
      </w:r>
    </w:p>
    <w:p>
      <w:pPr>
        <w:numPr>
          <w:ilvl w:val="0"/>
          <w:numId w:val="1"/>
        </w:numPr>
        <w:tabs>
          <w:tab w:val="left" w:pos="291"/>
        </w:tabs>
        <w:spacing w:line="360" w:lineRule="auto"/>
        <w:ind w:firstLine="640" w:firstLineChars="200"/>
        <w:jc w:val="left"/>
        <w:rPr>
          <w:rFonts w:hint="eastAsia" w:ascii="宋体" w:hAnsi="宋体" w:eastAsia="宋体" w:cs="宋体"/>
          <w:sz w:val="32"/>
          <w:szCs w:val="32"/>
          <w:lang w:val="en-US" w:eastAsia="zh-CN"/>
        </w:rPr>
      </w:pPr>
      <w:r>
        <w:rPr>
          <w:rFonts w:hint="eastAsia" w:ascii="宋体" w:hAnsi="宋体" w:eastAsia="宋体" w:cs="宋体"/>
          <w:b w:val="0"/>
          <w:bCs w:val="0"/>
          <w:sz w:val="32"/>
          <w:szCs w:val="32"/>
          <w:lang w:eastAsia="zh-CN"/>
        </w:rPr>
        <w:t>锦江区医保局</w:t>
      </w:r>
      <w:r>
        <w:rPr>
          <w:rFonts w:hint="eastAsia" w:ascii="宋体" w:hAnsi="宋体" w:eastAsia="宋体" w:cs="宋体"/>
          <w:b w:val="0"/>
          <w:bCs w:val="0"/>
          <w:sz w:val="32"/>
          <w:szCs w:val="32"/>
          <w:lang w:val="en-US" w:eastAsia="zh-CN"/>
        </w:rPr>
        <w:t>2024年2月2日</w:t>
      </w:r>
      <w:r>
        <w:rPr>
          <w:rFonts w:hint="eastAsia" w:ascii="宋体" w:hAnsi="宋体" w:eastAsia="宋体" w:cs="宋体"/>
          <w:b w:val="0"/>
          <w:bCs w:val="0"/>
          <w:sz w:val="32"/>
          <w:szCs w:val="32"/>
          <w:lang w:eastAsia="zh-CN"/>
        </w:rPr>
        <w:t>在</w:t>
      </w:r>
      <w:r>
        <w:rPr>
          <w:rFonts w:hint="eastAsia" w:ascii="宋体" w:hAnsi="宋体" w:eastAsia="宋体" w:cs="宋体"/>
          <w:color w:val="auto"/>
          <w:sz w:val="32"/>
          <w:szCs w:val="32"/>
          <w:lang w:val="en-US" w:eastAsia="zh-CN"/>
        </w:rPr>
        <w:t>观音桥店检查门诊统筹时，抽查发现抗病毒颗粒进销存</w:t>
      </w:r>
      <w:r>
        <w:rPr>
          <w:rFonts w:hint="eastAsia" w:ascii="宋体" w:hAnsi="宋体" w:cs="宋体"/>
          <w:color w:val="auto"/>
          <w:sz w:val="32"/>
          <w:szCs w:val="32"/>
          <w:lang w:val="en-US" w:eastAsia="zh-CN"/>
        </w:rPr>
        <w:t>不符</w:t>
      </w:r>
      <w:r>
        <w:rPr>
          <w:rFonts w:hint="eastAsia" w:ascii="宋体" w:hAnsi="宋体" w:eastAsia="宋体" w:cs="宋体"/>
          <w:color w:val="auto"/>
          <w:sz w:val="32"/>
          <w:szCs w:val="32"/>
          <w:lang w:val="en-US" w:eastAsia="zh-CN"/>
        </w:rPr>
        <w:t>，涉及金额466.4元，给予门店退1罚1的处罚，合计金额为：466.4*2=932.8元。</w:t>
      </w:r>
      <w:r>
        <w:rPr>
          <w:rFonts w:hint="eastAsia" w:ascii="宋体" w:hAnsi="宋体" w:eastAsia="宋体" w:cs="宋体"/>
          <w:color w:val="auto"/>
          <w:sz w:val="32"/>
          <w:szCs w:val="32"/>
          <w:lang w:val="en-US" w:eastAsia="zh-CN"/>
        </w:rPr>
        <w:br w:type="textWrapping"/>
      </w:r>
      <w:r>
        <w:rPr>
          <w:rFonts w:hint="eastAsia" w:ascii="宋体" w:hAnsi="宋体" w:eastAsia="宋体" w:cs="宋体"/>
          <w:color w:val="auto"/>
          <w:sz w:val="32"/>
          <w:szCs w:val="32"/>
          <w:lang w:val="en-US" w:eastAsia="zh-CN"/>
        </w:rPr>
        <w:t xml:space="preserve">    事情经过为，</w:t>
      </w:r>
      <w:r>
        <w:rPr>
          <w:rFonts w:hint="eastAsia" w:ascii="宋体" w:hAnsi="宋体" w:eastAsia="宋体" w:cs="宋体"/>
          <w:sz w:val="32"/>
          <w:szCs w:val="32"/>
          <w:lang w:val="en-US" w:eastAsia="zh-CN"/>
        </w:rPr>
        <w:t>2月2日上午医保局到店检查，当时代烨在上班，检查人员要求门店提供统筹报销的处方和社保刷卡记录，代烨马上联系店长（袁咏梅），店长接到电话后立即赶到店上配合检查人员工作，检查人员把检查内容记录在检查单上并催促门店在检查单上签字确认，</w:t>
      </w:r>
      <w:r>
        <w:rPr>
          <w:rFonts w:hint="eastAsia" w:ascii="宋体" w:hAnsi="宋体" w:cs="宋体"/>
          <w:sz w:val="32"/>
          <w:szCs w:val="32"/>
          <w:lang w:val="en-US" w:eastAsia="zh-CN"/>
        </w:rPr>
        <w:t>店长</w:t>
      </w:r>
      <w:r>
        <w:rPr>
          <w:rFonts w:hint="eastAsia" w:ascii="宋体" w:hAnsi="宋体" w:eastAsia="宋体" w:cs="宋体"/>
          <w:sz w:val="32"/>
          <w:szCs w:val="32"/>
          <w:lang w:val="en-US" w:eastAsia="zh-CN"/>
        </w:rPr>
        <w:t>签完字后检查老师告知门店抗病毒进销存不符，门店当场否认（其它地方还有库存），检查老师没有让门店再次确认数量就让门店准备材料交给他，门店也按检查人员要求交了复印材料。</w:t>
      </w:r>
      <w:r>
        <w:rPr>
          <w:rFonts w:hint="eastAsia" w:ascii="宋体" w:hAnsi="宋体" w:eastAsia="宋体" w:cs="宋体"/>
          <w:sz w:val="32"/>
          <w:szCs w:val="32"/>
          <w:lang w:val="en-US" w:eastAsia="zh-CN"/>
        </w:rPr>
        <w:br w:type="textWrapping"/>
      </w:r>
      <w:r>
        <w:rPr>
          <w:rFonts w:hint="eastAsia" w:ascii="宋体" w:hAnsi="宋体" w:eastAsia="宋体" w:cs="宋体"/>
          <w:sz w:val="32"/>
          <w:szCs w:val="32"/>
          <w:lang w:val="en-US" w:eastAsia="zh-CN"/>
        </w:rPr>
        <w:t xml:space="preserve">     事后医保局通知质管部</w:t>
      </w:r>
      <w:r>
        <w:rPr>
          <w:rFonts w:hint="eastAsia" w:ascii="宋体" w:hAnsi="宋体" w:cs="宋体"/>
          <w:sz w:val="32"/>
          <w:szCs w:val="32"/>
          <w:lang w:val="en-US" w:eastAsia="zh-CN"/>
        </w:rPr>
        <w:t>门</w:t>
      </w:r>
      <w:r>
        <w:rPr>
          <w:rFonts w:hint="eastAsia" w:ascii="宋体" w:hAnsi="宋体" w:eastAsia="宋体" w:cs="宋体"/>
          <w:sz w:val="32"/>
          <w:szCs w:val="32"/>
          <w:lang w:val="en-US" w:eastAsia="zh-CN"/>
        </w:rPr>
        <w:t>店进销存不符，</w:t>
      </w:r>
      <w:r>
        <w:rPr>
          <w:rFonts w:hint="eastAsia" w:ascii="宋体" w:hAnsi="宋体" w:cs="宋体"/>
          <w:sz w:val="32"/>
          <w:szCs w:val="32"/>
          <w:lang w:val="en-US" w:eastAsia="zh-CN"/>
        </w:rPr>
        <w:t>慢病部和质管部</w:t>
      </w:r>
      <w:r>
        <w:rPr>
          <w:rFonts w:hint="eastAsia" w:ascii="宋体" w:hAnsi="宋体" w:eastAsia="宋体" w:cs="宋体"/>
          <w:sz w:val="32"/>
          <w:szCs w:val="32"/>
          <w:lang w:val="en-US" w:eastAsia="zh-CN"/>
        </w:rPr>
        <w:t>到医保局提起申诉及佐证材料，医保局不认可，给予门店涉及金额退1罚1的处罚</w:t>
      </w:r>
      <w:r>
        <w:rPr>
          <w:rFonts w:hint="eastAsia" w:ascii="宋体" w:hAnsi="宋体" w:cs="宋体"/>
          <w:sz w:val="32"/>
          <w:szCs w:val="32"/>
          <w:lang w:val="en-US" w:eastAsia="zh-CN"/>
        </w:rPr>
        <w:t>。</w:t>
      </w:r>
      <w:r>
        <w:rPr>
          <w:rFonts w:hint="eastAsia" w:ascii="宋体" w:hAnsi="宋体" w:cs="宋体"/>
          <w:sz w:val="32"/>
          <w:szCs w:val="32"/>
          <w:lang w:val="en-US" w:eastAsia="zh-CN"/>
        </w:rPr>
        <w:br w:type="textWrapping"/>
      </w:r>
      <w:r>
        <w:rPr>
          <w:rFonts w:hint="eastAsia" w:ascii="宋体" w:hAnsi="宋体" w:eastAsia="宋体" w:cs="宋体"/>
          <w:sz w:val="32"/>
          <w:szCs w:val="32"/>
          <w:lang w:val="en-US" w:eastAsia="zh-CN"/>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lang w:val="en-US" w:eastAsia="zh-CN"/>
        </w:rPr>
        <w:t>由于门店疏忽漏数货品库存，且在检查单上签字之前也没有确认清楚及拍照留存，导致进销存不符，造成</w:t>
      </w:r>
      <w:r>
        <w:rPr>
          <w:rFonts w:hint="eastAsia" w:ascii="宋体" w:hAnsi="宋体" w:cs="宋体"/>
          <w:sz w:val="32"/>
          <w:szCs w:val="32"/>
          <w:lang w:val="en-US" w:eastAsia="zh-CN"/>
        </w:rPr>
        <w:t>的</w:t>
      </w:r>
      <w:r>
        <w:rPr>
          <w:rFonts w:hint="eastAsia" w:ascii="宋体" w:hAnsi="宋体" w:eastAsia="宋体" w:cs="宋体"/>
          <w:sz w:val="32"/>
          <w:szCs w:val="32"/>
          <w:lang w:val="en-US" w:eastAsia="zh-CN"/>
        </w:rPr>
        <w:t>损失由当事人及店长各承担一半的责任</w:t>
      </w:r>
      <w:r>
        <w:rPr>
          <w:rFonts w:hint="eastAsia" w:ascii="宋体" w:hAnsi="宋体" w:cs="宋体"/>
          <w:sz w:val="32"/>
          <w:szCs w:val="32"/>
          <w:lang w:val="en-US" w:eastAsia="zh-CN"/>
        </w:rPr>
        <w:t>。</w:t>
      </w:r>
    </w:p>
    <w:p>
      <w:pPr>
        <w:tabs>
          <w:tab w:val="left" w:pos="291"/>
        </w:tabs>
        <w:spacing w:line="360" w:lineRule="auto"/>
        <w:ind w:firstLine="640" w:firstLineChars="200"/>
        <w:jc w:val="left"/>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二、</w:t>
      </w:r>
      <w:r>
        <w:rPr>
          <w:rFonts w:hint="eastAsia" w:ascii="宋体" w:hAnsi="宋体" w:eastAsia="宋体" w:cs="宋体"/>
          <w:color w:val="auto"/>
          <w:sz w:val="32"/>
          <w:szCs w:val="32"/>
          <w:lang w:val="en-US" w:eastAsia="zh-CN"/>
        </w:rPr>
        <w:t>锦江区医保局检查旗舰店门诊统筹时，发现顾客张小文在2023年11月18日结算时没有处方，违反医疗保障门诊统筹政策，从而造成医保基金</w:t>
      </w:r>
      <w:r>
        <w:rPr>
          <w:rFonts w:hint="eastAsia" w:ascii="宋体" w:hAnsi="宋体" w:cs="宋体"/>
          <w:color w:val="auto"/>
          <w:sz w:val="32"/>
          <w:szCs w:val="32"/>
          <w:lang w:val="en-US" w:eastAsia="zh-CN"/>
        </w:rPr>
        <w:t>的</w:t>
      </w:r>
      <w:r>
        <w:rPr>
          <w:rFonts w:hint="eastAsia" w:ascii="宋体" w:hAnsi="宋体" w:eastAsia="宋体" w:cs="宋体"/>
          <w:color w:val="auto"/>
          <w:sz w:val="32"/>
          <w:szCs w:val="32"/>
          <w:lang w:val="en-US" w:eastAsia="zh-CN"/>
        </w:rPr>
        <w:t>损失。</w:t>
      </w:r>
    </w:p>
    <w:p>
      <w:pPr>
        <w:tabs>
          <w:tab w:val="left" w:pos="291"/>
        </w:tabs>
        <w:spacing w:line="360" w:lineRule="auto"/>
        <w:ind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2024年1月25日锦江区</w:t>
      </w:r>
      <w:r>
        <w:rPr>
          <w:rFonts w:hint="eastAsia" w:ascii="宋体" w:hAnsi="宋体" w:cs="宋体"/>
          <w:color w:val="auto"/>
          <w:sz w:val="32"/>
          <w:szCs w:val="32"/>
          <w:lang w:val="en-US" w:eastAsia="zh-CN"/>
        </w:rPr>
        <w:t>医保</w:t>
      </w:r>
      <w:r>
        <w:rPr>
          <w:rFonts w:hint="eastAsia" w:ascii="宋体" w:hAnsi="宋体" w:eastAsia="宋体" w:cs="宋体"/>
          <w:color w:val="auto"/>
          <w:sz w:val="32"/>
          <w:szCs w:val="32"/>
          <w:lang w:val="en-US" w:eastAsia="zh-CN"/>
        </w:rPr>
        <w:t>局检查门店在2023年职工门诊统筹报销中，发现门店违反医疗保障门诊统筹政策，从而造成医保基金损失</w:t>
      </w:r>
      <w:r>
        <w:rPr>
          <w:rFonts w:hint="eastAsia" w:ascii="宋体" w:hAnsi="宋体" w:eastAsia="宋体" w:cs="宋体"/>
          <w:sz w:val="32"/>
          <w:szCs w:val="32"/>
          <w:lang w:val="en-US" w:eastAsia="zh-CN"/>
        </w:rPr>
        <w:t>。依据2023版医保协议内容，门店违反医保协议</w:t>
      </w:r>
      <w:r>
        <w:rPr>
          <w:rFonts w:hint="eastAsia" w:ascii="宋体" w:hAnsi="宋体" w:cs="宋体"/>
          <w:sz w:val="32"/>
          <w:szCs w:val="32"/>
          <w:lang w:val="en-US" w:eastAsia="zh-CN"/>
        </w:rPr>
        <w:t>，违规金额219.95元，给予退1罚2的处罚，合计金额：219.95*3=659.85元</w:t>
      </w:r>
      <w:r>
        <w:rPr>
          <w:rFonts w:hint="eastAsia" w:ascii="宋体" w:hAnsi="宋体" w:eastAsia="宋体" w:cs="宋体"/>
          <w:b/>
          <w:bCs/>
          <w:color w:val="auto"/>
          <w:sz w:val="32"/>
          <w:szCs w:val="32"/>
          <w:lang w:val="en-US" w:eastAsia="zh-CN"/>
        </w:rPr>
        <w:t>。</w:t>
      </w:r>
      <w:r>
        <w:rPr>
          <w:rFonts w:hint="eastAsia" w:ascii="宋体" w:hAnsi="宋体" w:eastAsia="宋体" w:cs="宋体"/>
          <w:b/>
          <w:bCs/>
          <w:color w:val="auto"/>
          <w:sz w:val="32"/>
          <w:szCs w:val="32"/>
          <w:lang w:val="en-US" w:eastAsia="zh-CN"/>
        </w:rPr>
        <w:br w:type="textWrapping"/>
      </w:r>
      <w:r>
        <w:rPr>
          <w:rFonts w:hint="eastAsia" w:ascii="宋体" w:hAnsi="宋体" w:cs="宋体"/>
          <w:b/>
          <w:bCs/>
          <w:color w:val="auto"/>
          <w:sz w:val="32"/>
          <w:szCs w:val="32"/>
          <w:lang w:val="en-US" w:eastAsia="zh-CN"/>
        </w:rPr>
        <w:t xml:space="preserve">   </w:t>
      </w:r>
      <w:r>
        <w:rPr>
          <w:rFonts w:hint="eastAsia" w:ascii="宋体" w:hAnsi="宋体" w:eastAsia="宋体" w:cs="宋体"/>
          <w:sz w:val="32"/>
          <w:szCs w:val="32"/>
          <w:lang w:val="en-US" w:eastAsia="zh-CN"/>
        </w:rPr>
        <w:t>为杜绝公司其他门店再次出现类似事件，慢病部将锦江</w:t>
      </w:r>
      <w:r>
        <w:rPr>
          <w:rFonts w:hint="eastAsia" w:ascii="宋体" w:hAnsi="宋体" w:eastAsia="宋体" w:cs="宋体"/>
          <w:color w:val="auto"/>
          <w:sz w:val="32"/>
          <w:szCs w:val="32"/>
          <w:lang w:val="en-US" w:eastAsia="zh-CN"/>
        </w:rPr>
        <w:t>医保局检查处罚</w:t>
      </w:r>
      <w:r>
        <w:rPr>
          <w:rFonts w:hint="eastAsia" w:ascii="宋体" w:hAnsi="宋体" w:cs="宋体"/>
          <w:color w:val="auto"/>
          <w:sz w:val="32"/>
          <w:szCs w:val="32"/>
          <w:lang w:val="en-US" w:eastAsia="zh-CN"/>
        </w:rPr>
        <w:t>观音桥及</w:t>
      </w:r>
      <w:r>
        <w:rPr>
          <w:rFonts w:hint="eastAsia" w:ascii="宋体" w:hAnsi="宋体" w:eastAsia="宋体" w:cs="宋体"/>
          <w:color w:val="auto"/>
          <w:sz w:val="32"/>
          <w:szCs w:val="32"/>
          <w:lang w:val="en-US" w:eastAsia="zh-CN"/>
        </w:rPr>
        <w:t>旗舰</w:t>
      </w:r>
      <w:r>
        <w:rPr>
          <w:rFonts w:hint="eastAsia" w:ascii="宋体" w:hAnsi="宋体" w:eastAsia="宋体" w:cs="宋体"/>
          <w:sz w:val="32"/>
          <w:szCs w:val="32"/>
          <w:lang w:val="en-US" w:eastAsia="zh-CN"/>
        </w:rPr>
        <w:t>店的结果给予全公司通报</w:t>
      </w:r>
      <w:r>
        <w:rPr>
          <w:rFonts w:hint="eastAsia" w:ascii="宋体" w:hAnsi="宋体" w:cs="宋体"/>
          <w:sz w:val="32"/>
          <w:szCs w:val="32"/>
          <w:lang w:val="en-US" w:eastAsia="zh-CN"/>
        </w:rPr>
        <w:t>，罚款分配金额：</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665"/>
        <w:gridCol w:w="1665"/>
        <w:gridCol w:w="1665"/>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Align w:val="center"/>
          </w:tcPr>
          <w:p>
            <w:pPr>
              <w:numPr>
                <w:ilvl w:val="0"/>
                <w:numId w:val="0"/>
              </w:numPr>
              <w:tabs>
                <w:tab w:val="left" w:pos="291"/>
              </w:tabs>
              <w:spacing w:line="360" w:lineRule="auto"/>
              <w:jc w:val="center"/>
              <w:rPr>
                <w:rFonts w:hint="default"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门店ID</w:t>
            </w:r>
          </w:p>
        </w:tc>
        <w:tc>
          <w:tcPr>
            <w:tcW w:w="1665" w:type="dxa"/>
            <w:vAlign w:val="center"/>
          </w:tcPr>
          <w:p>
            <w:pPr>
              <w:numPr>
                <w:ilvl w:val="0"/>
                <w:numId w:val="0"/>
              </w:numPr>
              <w:tabs>
                <w:tab w:val="left" w:pos="291"/>
              </w:tabs>
              <w:spacing w:line="360" w:lineRule="auto"/>
              <w:jc w:val="center"/>
              <w:rPr>
                <w:rFonts w:hint="eastAsia"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门店名称</w:t>
            </w:r>
          </w:p>
        </w:tc>
        <w:tc>
          <w:tcPr>
            <w:tcW w:w="1665" w:type="dxa"/>
            <w:vAlign w:val="center"/>
          </w:tcPr>
          <w:p>
            <w:pPr>
              <w:numPr>
                <w:ilvl w:val="0"/>
                <w:numId w:val="0"/>
              </w:numPr>
              <w:tabs>
                <w:tab w:val="left" w:pos="291"/>
              </w:tabs>
              <w:spacing w:line="360" w:lineRule="auto"/>
              <w:jc w:val="center"/>
              <w:rPr>
                <w:rFonts w:hint="default"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人员ID</w:t>
            </w:r>
          </w:p>
        </w:tc>
        <w:tc>
          <w:tcPr>
            <w:tcW w:w="1665" w:type="dxa"/>
            <w:vAlign w:val="center"/>
          </w:tcPr>
          <w:p>
            <w:pPr>
              <w:numPr>
                <w:ilvl w:val="0"/>
                <w:numId w:val="0"/>
              </w:numPr>
              <w:tabs>
                <w:tab w:val="left" w:pos="291"/>
              </w:tabs>
              <w:spacing w:line="360" w:lineRule="auto"/>
              <w:jc w:val="center"/>
              <w:rPr>
                <w:rFonts w:hint="eastAsia"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人员名称</w:t>
            </w:r>
          </w:p>
        </w:tc>
        <w:tc>
          <w:tcPr>
            <w:tcW w:w="2868" w:type="dxa"/>
            <w:vAlign w:val="center"/>
          </w:tcPr>
          <w:p>
            <w:pPr>
              <w:numPr>
                <w:ilvl w:val="0"/>
                <w:numId w:val="0"/>
              </w:numPr>
              <w:tabs>
                <w:tab w:val="left" w:pos="291"/>
              </w:tabs>
              <w:spacing w:line="360" w:lineRule="auto"/>
              <w:jc w:val="center"/>
              <w:rPr>
                <w:rFonts w:hint="eastAsia"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金额（单位：元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Align w:val="center"/>
          </w:tcPr>
          <w:p>
            <w:pPr>
              <w:numPr>
                <w:ilvl w:val="0"/>
                <w:numId w:val="0"/>
              </w:numPr>
              <w:tabs>
                <w:tab w:val="left" w:pos="291"/>
              </w:tabs>
              <w:spacing w:line="360" w:lineRule="auto"/>
              <w:jc w:val="center"/>
              <w:rPr>
                <w:rFonts w:hint="default"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724</w:t>
            </w:r>
          </w:p>
        </w:tc>
        <w:tc>
          <w:tcPr>
            <w:tcW w:w="1665" w:type="dxa"/>
            <w:vAlign w:val="center"/>
          </w:tcPr>
          <w:p>
            <w:pPr>
              <w:numPr>
                <w:ilvl w:val="0"/>
                <w:numId w:val="0"/>
              </w:numPr>
              <w:tabs>
                <w:tab w:val="left" w:pos="291"/>
              </w:tabs>
              <w:spacing w:line="360" w:lineRule="auto"/>
              <w:jc w:val="center"/>
              <w:rPr>
                <w:rFonts w:hint="eastAsia"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观音桥</w:t>
            </w:r>
          </w:p>
        </w:tc>
        <w:tc>
          <w:tcPr>
            <w:tcW w:w="1665" w:type="dxa"/>
            <w:vAlign w:val="center"/>
          </w:tcPr>
          <w:p>
            <w:pPr>
              <w:numPr>
                <w:ilvl w:val="0"/>
                <w:numId w:val="0"/>
              </w:numPr>
              <w:tabs>
                <w:tab w:val="left" w:pos="291"/>
              </w:tabs>
              <w:spacing w:line="360" w:lineRule="auto"/>
              <w:jc w:val="center"/>
              <w:rPr>
                <w:rFonts w:hint="default"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10930</w:t>
            </w:r>
          </w:p>
        </w:tc>
        <w:tc>
          <w:tcPr>
            <w:tcW w:w="1665" w:type="dxa"/>
            <w:vAlign w:val="center"/>
          </w:tcPr>
          <w:p>
            <w:pPr>
              <w:numPr>
                <w:ilvl w:val="0"/>
                <w:numId w:val="0"/>
              </w:numPr>
              <w:tabs>
                <w:tab w:val="left" w:pos="291"/>
              </w:tabs>
              <w:spacing w:line="360" w:lineRule="auto"/>
              <w:jc w:val="center"/>
              <w:rPr>
                <w:rFonts w:hint="eastAsia"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袁咏梅</w:t>
            </w:r>
          </w:p>
        </w:tc>
        <w:tc>
          <w:tcPr>
            <w:tcW w:w="2868" w:type="dxa"/>
            <w:vAlign w:val="center"/>
          </w:tcPr>
          <w:p>
            <w:pPr>
              <w:numPr>
                <w:ilvl w:val="0"/>
                <w:numId w:val="0"/>
              </w:numPr>
              <w:tabs>
                <w:tab w:val="left" w:pos="291"/>
              </w:tabs>
              <w:spacing w:line="360" w:lineRule="auto"/>
              <w:jc w:val="center"/>
              <w:rPr>
                <w:rFonts w:hint="default"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466.4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Align w:val="center"/>
          </w:tcPr>
          <w:p>
            <w:pPr>
              <w:numPr>
                <w:ilvl w:val="0"/>
                <w:numId w:val="0"/>
              </w:numPr>
              <w:tabs>
                <w:tab w:val="left" w:pos="291"/>
              </w:tabs>
              <w:spacing w:line="360" w:lineRule="auto"/>
              <w:jc w:val="center"/>
              <w:rPr>
                <w:rFonts w:hint="default"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724</w:t>
            </w:r>
          </w:p>
        </w:tc>
        <w:tc>
          <w:tcPr>
            <w:tcW w:w="1665" w:type="dxa"/>
            <w:vAlign w:val="center"/>
          </w:tcPr>
          <w:p>
            <w:pPr>
              <w:numPr>
                <w:ilvl w:val="0"/>
                <w:numId w:val="0"/>
              </w:numPr>
              <w:tabs>
                <w:tab w:val="left" w:pos="291"/>
              </w:tabs>
              <w:spacing w:line="360" w:lineRule="auto"/>
              <w:jc w:val="center"/>
              <w:rPr>
                <w:rFonts w:hint="eastAsia"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观音桥</w:t>
            </w:r>
          </w:p>
        </w:tc>
        <w:tc>
          <w:tcPr>
            <w:tcW w:w="1665" w:type="dxa"/>
            <w:vAlign w:val="center"/>
          </w:tcPr>
          <w:p>
            <w:pPr>
              <w:numPr>
                <w:ilvl w:val="0"/>
                <w:numId w:val="0"/>
              </w:numPr>
              <w:tabs>
                <w:tab w:val="left" w:pos="291"/>
              </w:tabs>
              <w:spacing w:line="360" w:lineRule="auto"/>
              <w:jc w:val="center"/>
              <w:rPr>
                <w:rFonts w:hint="default"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16090</w:t>
            </w:r>
          </w:p>
        </w:tc>
        <w:tc>
          <w:tcPr>
            <w:tcW w:w="1665" w:type="dxa"/>
            <w:vAlign w:val="center"/>
          </w:tcPr>
          <w:p>
            <w:pPr>
              <w:numPr>
                <w:ilvl w:val="0"/>
                <w:numId w:val="0"/>
              </w:numPr>
              <w:tabs>
                <w:tab w:val="left" w:pos="291"/>
              </w:tabs>
              <w:spacing w:line="360" w:lineRule="auto"/>
              <w:jc w:val="center"/>
              <w:rPr>
                <w:rFonts w:hint="eastAsia"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代烨</w:t>
            </w:r>
          </w:p>
        </w:tc>
        <w:tc>
          <w:tcPr>
            <w:tcW w:w="2868" w:type="dxa"/>
            <w:vAlign w:val="center"/>
          </w:tcPr>
          <w:p>
            <w:pPr>
              <w:numPr>
                <w:ilvl w:val="0"/>
                <w:numId w:val="0"/>
              </w:numPr>
              <w:tabs>
                <w:tab w:val="left" w:pos="291"/>
              </w:tabs>
              <w:spacing w:line="360" w:lineRule="auto"/>
              <w:jc w:val="center"/>
              <w:rPr>
                <w:rFonts w:hint="default"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466.4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Align w:val="center"/>
          </w:tcPr>
          <w:p>
            <w:pPr>
              <w:numPr>
                <w:ilvl w:val="0"/>
                <w:numId w:val="0"/>
              </w:numPr>
              <w:tabs>
                <w:tab w:val="left" w:pos="291"/>
              </w:tabs>
              <w:spacing w:line="360" w:lineRule="auto"/>
              <w:jc w:val="center"/>
              <w:rPr>
                <w:rFonts w:hint="default"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307</w:t>
            </w:r>
          </w:p>
        </w:tc>
        <w:tc>
          <w:tcPr>
            <w:tcW w:w="1665" w:type="dxa"/>
            <w:vAlign w:val="center"/>
          </w:tcPr>
          <w:p>
            <w:pPr>
              <w:numPr>
                <w:ilvl w:val="0"/>
                <w:numId w:val="0"/>
              </w:numPr>
              <w:tabs>
                <w:tab w:val="left" w:pos="291"/>
              </w:tabs>
              <w:spacing w:line="360" w:lineRule="auto"/>
              <w:jc w:val="center"/>
              <w:rPr>
                <w:rFonts w:hint="eastAsia"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旗舰店</w:t>
            </w:r>
          </w:p>
        </w:tc>
        <w:tc>
          <w:tcPr>
            <w:tcW w:w="1665" w:type="dxa"/>
            <w:vAlign w:val="center"/>
          </w:tcPr>
          <w:p>
            <w:pPr>
              <w:numPr>
                <w:ilvl w:val="0"/>
                <w:numId w:val="0"/>
              </w:numPr>
              <w:tabs>
                <w:tab w:val="left" w:pos="291"/>
              </w:tabs>
              <w:spacing w:line="360" w:lineRule="auto"/>
              <w:jc w:val="center"/>
              <w:rPr>
                <w:rFonts w:hint="default"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8592</w:t>
            </w:r>
          </w:p>
        </w:tc>
        <w:tc>
          <w:tcPr>
            <w:tcW w:w="1665" w:type="dxa"/>
            <w:vAlign w:val="center"/>
          </w:tcPr>
          <w:p>
            <w:pPr>
              <w:numPr>
                <w:ilvl w:val="0"/>
                <w:numId w:val="0"/>
              </w:numPr>
              <w:tabs>
                <w:tab w:val="left" w:pos="291"/>
              </w:tabs>
              <w:spacing w:line="360" w:lineRule="auto"/>
              <w:jc w:val="center"/>
              <w:rPr>
                <w:rFonts w:hint="eastAsia"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张娟娟</w:t>
            </w:r>
          </w:p>
        </w:tc>
        <w:tc>
          <w:tcPr>
            <w:tcW w:w="2868" w:type="dxa"/>
            <w:vAlign w:val="center"/>
          </w:tcPr>
          <w:p>
            <w:pPr>
              <w:numPr>
                <w:ilvl w:val="0"/>
                <w:numId w:val="0"/>
              </w:numPr>
              <w:tabs>
                <w:tab w:val="left" w:pos="291"/>
              </w:tabs>
              <w:spacing w:line="360" w:lineRule="auto"/>
              <w:jc w:val="center"/>
              <w:rPr>
                <w:rFonts w:hint="default" w:ascii="宋体" w:hAnsi="宋体" w:eastAsia="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189.75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Align w:val="center"/>
          </w:tcPr>
          <w:p>
            <w:pPr>
              <w:numPr>
                <w:ilvl w:val="0"/>
                <w:numId w:val="0"/>
              </w:numPr>
              <w:tabs>
                <w:tab w:val="left" w:pos="291"/>
              </w:tabs>
              <w:spacing w:line="360" w:lineRule="auto"/>
              <w:jc w:val="center"/>
              <w:rPr>
                <w:rFonts w:hint="eastAsia"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307</w:t>
            </w:r>
          </w:p>
        </w:tc>
        <w:tc>
          <w:tcPr>
            <w:tcW w:w="1665" w:type="dxa"/>
            <w:vAlign w:val="center"/>
          </w:tcPr>
          <w:p>
            <w:pPr>
              <w:numPr>
                <w:ilvl w:val="0"/>
                <w:numId w:val="0"/>
              </w:numPr>
              <w:tabs>
                <w:tab w:val="left" w:pos="291"/>
              </w:tabs>
              <w:spacing w:line="360" w:lineRule="auto"/>
              <w:jc w:val="center"/>
              <w:rPr>
                <w:rFonts w:hint="eastAsia"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旗舰店</w:t>
            </w:r>
          </w:p>
        </w:tc>
        <w:tc>
          <w:tcPr>
            <w:tcW w:w="1665" w:type="dxa"/>
            <w:vAlign w:val="center"/>
          </w:tcPr>
          <w:p>
            <w:pPr>
              <w:numPr>
                <w:ilvl w:val="0"/>
                <w:numId w:val="0"/>
              </w:numPr>
              <w:tabs>
                <w:tab w:val="left" w:pos="291"/>
              </w:tabs>
              <w:spacing w:line="360" w:lineRule="auto"/>
              <w:jc w:val="center"/>
              <w:rPr>
                <w:rFonts w:hint="default"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12225</w:t>
            </w:r>
          </w:p>
        </w:tc>
        <w:tc>
          <w:tcPr>
            <w:tcW w:w="1665" w:type="dxa"/>
            <w:vAlign w:val="center"/>
          </w:tcPr>
          <w:p>
            <w:pPr>
              <w:numPr>
                <w:ilvl w:val="0"/>
                <w:numId w:val="0"/>
              </w:numPr>
              <w:tabs>
                <w:tab w:val="left" w:pos="291"/>
              </w:tabs>
              <w:spacing w:line="360" w:lineRule="auto"/>
              <w:jc w:val="center"/>
              <w:rPr>
                <w:rFonts w:hint="eastAsia"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罗豪</w:t>
            </w:r>
          </w:p>
        </w:tc>
        <w:tc>
          <w:tcPr>
            <w:tcW w:w="2868" w:type="dxa"/>
            <w:vAlign w:val="center"/>
          </w:tcPr>
          <w:p>
            <w:pPr>
              <w:numPr>
                <w:ilvl w:val="0"/>
                <w:numId w:val="0"/>
              </w:numPr>
              <w:tabs>
                <w:tab w:val="left" w:pos="291"/>
              </w:tabs>
              <w:spacing w:line="360" w:lineRule="auto"/>
              <w:jc w:val="center"/>
              <w:rPr>
                <w:rFonts w:hint="default"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Align w:val="center"/>
          </w:tcPr>
          <w:p>
            <w:pPr>
              <w:numPr>
                <w:ilvl w:val="0"/>
                <w:numId w:val="0"/>
              </w:numPr>
              <w:tabs>
                <w:tab w:val="left" w:pos="291"/>
              </w:tabs>
              <w:spacing w:line="360" w:lineRule="auto"/>
              <w:jc w:val="center"/>
              <w:rPr>
                <w:rFonts w:hint="eastAsia"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307</w:t>
            </w:r>
          </w:p>
        </w:tc>
        <w:tc>
          <w:tcPr>
            <w:tcW w:w="1665" w:type="dxa"/>
            <w:vAlign w:val="center"/>
          </w:tcPr>
          <w:p>
            <w:pPr>
              <w:numPr>
                <w:ilvl w:val="0"/>
                <w:numId w:val="0"/>
              </w:numPr>
              <w:tabs>
                <w:tab w:val="left" w:pos="291"/>
              </w:tabs>
              <w:spacing w:line="360" w:lineRule="auto"/>
              <w:jc w:val="center"/>
              <w:rPr>
                <w:rFonts w:hint="eastAsia"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旗舰店</w:t>
            </w:r>
          </w:p>
        </w:tc>
        <w:tc>
          <w:tcPr>
            <w:tcW w:w="1665" w:type="dxa"/>
            <w:vAlign w:val="center"/>
          </w:tcPr>
          <w:p>
            <w:pPr>
              <w:numPr>
                <w:ilvl w:val="0"/>
                <w:numId w:val="0"/>
              </w:numPr>
              <w:tabs>
                <w:tab w:val="left" w:pos="291"/>
              </w:tabs>
              <w:spacing w:line="360" w:lineRule="auto"/>
              <w:jc w:val="center"/>
              <w:rPr>
                <w:rFonts w:hint="default"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14108</w:t>
            </w:r>
          </w:p>
        </w:tc>
        <w:tc>
          <w:tcPr>
            <w:tcW w:w="1665" w:type="dxa"/>
            <w:vAlign w:val="center"/>
          </w:tcPr>
          <w:p>
            <w:pPr>
              <w:numPr>
                <w:ilvl w:val="0"/>
                <w:numId w:val="0"/>
              </w:numPr>
              <w:tabs>
                <w:tab w:val="left" w:pos="291"/>
              </w:tabs>
              <w:spacing w:line="360" w:lineRule="auto"/>
              <w:jc w:val="center"/>
              <w:rPr>
                <w:rFonts w:hint="eastAsia"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严善群</w:t>
            </w:r>
          </w:p>
        </w:tc>
        <w:tc>
          <w:tcPr>
            <w:tcW w:w="2868" w:type="dxa"/>
            <w:vAlign w:val="center"/>
          </w:tcPr>
          <w:p>
            <w:pPr>
              <w:numPr>
                <w:ilvl w:val="0"/>
                <w:numId w:val="0"/>
              </w:numPr>
              <w:tabs>
                <w:tab w:val="left" w:pos="291"/>
              </w:tabs>
              <w:spacing w:line="360" w:lineRule="auto"/>
              <w:jc w:val="center"/>
              <w:rPr>
                <w:rFonts w:hint="default"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665" w:type="dxa"/>
            <w:vAlign w:val="center"/>
          </w:tcPr>
          <w:p>
            <w:pPr>
              <w:numPr>
                <w:ilvl w:val="0"/>
                <w:numId w:val="0"/>
              </w:numPr>
              <w:tabs>
                <w:tab w:val="left" w:pos="291"/>
              </w:tabs>
              <w:spacing w:line="360" w:lineRule="auto"/>
              <w:jc w:val="center"/>
              <w:rPr>
                <w:rFonts w:hint="eastAsia"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307</w:t>
            </w:r>
          </w:p>
        </w:tc>
        <w:tc>
          <w:tcPr>
            <w:tcW w:w="1665" w:type="dxa"/>
            <w:vAlign w:val="center"/>
          </w:tcPr>
          <w:p>
            <w:pPr>
              <w:numPr>
                <w:ilvl w:val="0"/>
                <w:numId w:val="0"/>
              </w:numPr>
              <w:tabs>
                <w:tab w:val="left" w:pos="291"/>
              </w:tabs>
              <w:spacing w:line="360" w:lineRule="auto"/>
              <w:jc w:val="center"/>
              <w:rPr>
                <w:rFonts w:hint="eastAsia"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旗舰店</w:t>
            </w:r>
          </w:p>
        </w:tc>
        <w:tc>
          <w:tcPr>
            <w:tcW w:w="1665" w:type="dxa"/>
            <w:vAlign w:val="center"/>
          </w:tcPr>
          <w:p>
            <w:pPr>
              <w:numPr>
                <w:ilvl w:val="0"/>
                <w:numId w:val="0"/>
              </w:numPr>
              <w:tabs>
                <w:tab w:val="left" w:pos="291"/>
              </w:tabs>
              <w:spacing w:line="360" w:lineRule="auto"/>
              <w:jc w:val="center"/>
              <w:rPr>
                <w:rFonts w:hint="default"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8022</w:t>
            </w:r>
          </w:p>
        </w:tc>
        <w:tc>
          <w:tcPr>
            <w:tcW w:w="1665" w:type="dxa"/>
            <w:vAlign w:val="center"/>
          </w:tcPr>
          <w:p>
            <w:pPr>
              <w:numPr>
                <w:ilvl w:val="0"/>
                <w:numId w:val="0"/>
              </w:numPr>
              <w:tabs>
                <w:tab w:val="left" w:pos="291"/>
              </w:tabs>
              <w:spacing w:line="360" w:lineRule="auto"/>
              <w:jc w:val="center"/>
              <w:rPr>
                <w:rFonts w:hint="eastAsia"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吴凤兰</w:t>
            </w:r>
          </w:p>
        </w:tc>
        <w:tc>
          <w:tcPr>
            <w:tcW w:w="2868" w:type="dxa"/>
            <w:vAlign w:val="center"/>
          </w:tcPr>
          <w:p>
            <w:pPr>
              <w:numPr>
                <w:ilvl w:val="0"/>
                <w:numId w:val="0"/>
              </w:numPr>
              <w:tabs>
                <w:tab w:val="left" w:pos="291"/>
              </w:tabs>
              <w:spacing w:line="360" w:lineRule="auto"/>
              <w:jc w:val="center"/>
              <w:rPr>
                <w:rFonts w:hint="default" w:ascii="宋体" w:hAnsi="宋体" w:cs="宋体"/>
                <w:color w:val="auto"/>
                <w:sz w:val="32"/>
                <w:szCs w:val="32"/>
                <w:vertAlign w:val="baseline"/>
                <w:lang w:val="en-US" w:eastAsia="zh-CN"/>
              </w:rPr>
            </w:pPr>
            <w:r>
              <w:rPr>
                <w:rFonts w:hint="eastAsia" w:ascii="宋体" w:hAnsi="宋体" w:cs="宋体"/>
                <w:color w:val="auto"/>
                <w:sz w:val="32"/>
                <w:szCs w:val="32"/>
                <w:vertAlign w:val="baseline"/>
                <w:lang w:val="en-US" w:eastAsia="zh-CN"/>
              </w:rPr>
              <w:t>156.7</w:t>
            </w:r>
          </w:p>
        </w:tc>
      </w:tr>
    </w:tbl>
    <w:p>
      <w:pPr>
        <w:numPr>
          <w:ilvl w:val="0"/>
          <w:numId w:val="0"/>
        </w:numPr>
        <w:tabs>
          <w:tab w:val="left" w:pos="291"/>
        </w:tabs>
        <w:spacing w:line="360" w:lineRule="auto"/>
        <w:jc w:val="left"/>
        <w:rPr>
          <w:rFonts w:hint="eastAsia" w:ascii="宋体" w:hAnsi="宋体" w:cs="宋体"/>
          <w:sz w:val="32"/>
          <w:szCs w:val="32"/>
          <w:lang w:val="en-US" w:eastAsia="zh-CN"/>
        </w:rPr>
      </w:pPr>
      <w:r>
        <w:rPr>
          <w:rFonts w:hint="eastAsia" w:ascii="宋体" w:hAnsi="宋体" w:cs="宋体"/>
          <w:color w:val="auto"/>
          <w:sz w:val="32"/>
          <w:szCs w:val="32"/>
          <w:lang w:val="en-US" w:eastAsia="zh-CN"/>
        </w:rPr>
        <w:t>1.从发文之日起门店在两天内把成长金交到财务部。</w:t>
      </w:r>
      <w:r>
        <w:rPr>
          <w:rFonts w:hint="eastAsia" w:ascii="宋体" w:hAnsi="宋体" w:cs="宋体"/>
          <w:color w:val="auto"/>
          <w:sz w:val="32"/>
          <w:szCs w:val="32"/>
          <w:lang w:val="en-US" w:eastAsia="zh-CN"/>
        </w:rPr>
        <w:br w:type="textWrapping"/>
      </w:r>
      <w:r>
        <w:rPr>
          <w:rFonts w:hint="eastAsia" w:ascii="宋体" w:hAnsi="宋体" w:cs="宋体"/>
          <w:color w:val="auto"/>
          <w:sz w:val="32"/>
          <w:szCs w:val="32"/>
          <w:lang w:val="en-US" w:eastAsia="zh-CN"/>
        </w:rPr>
        <w:t>2.</w:t>
      </w:r>
      <w:r>
        <w:rPr>
          <w:rFonts w:hint="eastAsia" w:ascii="宋体" w:hAnsi="宋体" w:eastAsia="宋体" w:cs="宋体"/>
          <w:color w:val="auto"/>
          <w:sz w:val="32"/>
          <w:szCs w:val="32"/>
          <w:lang w:val="en-US" w:eastAsia="zh-CN"/>
        </w:rPr>
        <w:t>各门店引以为戒，于发文之日起一周内完成打印学习，并在质量培训记录上进行门诊统筹培训</w:t>
      </w:r>
      <w:r>
        <w:rPr>
          <w:rFonts w:hint="eastAsia" w:ascii="宋体" w:hAnsi="宋体" w:cs="宋体"/>
          <w:color w:val="auto"/>
          <w:sz w:val="32"/>
          <w:szCs w:val="32"/>
          <w:lang w:val="en-US" w:eastAsia="zh-CN"/>
        </w:rPr>
        <w:t>和错误档案的学习</w:t>
      </w:r>
      <w:r>
        <w:rPr>
          <w:rFonts w:hint="eastAsia" w:ascii="宋体" w:hAnsi="宋体" w:eastAsia="宋体" w:cs="宋体"/>
          <w:color w:val="auto"/>
          <w:sz w:val="32"/>
          <w:szCs w:val="32"/>
          <w:lang w:val="en-US" w:eastAsia="zh-CN"/>
        </w:rPr>
        <w:t>，拍照上传</w:t>
      </w:r>
      <w:r>
        <w:rPr>
          <w:rFonts w:hint="eastAsia" w:ascii="宋体" w:hAnsi="宋体" w:cs="宋体"/>
          <w:color w:val="auto"/>
          <w:sz w:val="32"/>
          <w:szCs w:val="32"/>
          <w:lang w:val="en-US" w:eastAsia="zh-CN"/>
        </w:rPr>
        <w:t>到</w:t>
      </w:r>
      <w:r>
        <w:rPr>
          <w:rFonts w:hint="eastAsia" w:ascii="宋体" w:hAnsi="宋体" w:eastAsia="宋体" w:cs="宋体"/>
          <w:color w:val="auto"/>
          <w:sz w:val="32"/>
          <w:szCs w:val="32"/>
          <w:lang w:val="en-US" w:eastAsia="zh-CN"/>
        </w:rPr>
        <w:t>钉钉“门诊统筹”群。</w:t>
      </w:r>
      <w:r>
        <w:rPr>
          <w:rFonts w:hint="eastAsia" w:ascii="宋体" w:hAnsi="宋体" w:eastAsia="宋体" w:cs="宋体"/>
          <w:color w:val="auto"/>
          <w:sz w:val="32"/>
          <w:szCs w:val="32"/>
          <w:lang w:val="en-US" w:eastAsia="zh-CN"/>
        </w:rPr>
        <w:br w:type="textWrapping"/>
      </w:r>
      <w:r>
        <w:rPr>
          <w:rFonts w:hint="eastAsia" w:ascii="宋体" w:hAnsi="宋体" w:cs="宋体"/>
          <w:color w:val="auto"/>
          <w:sz w:val="32"/>
          <w:szCs w:val="32"/>
          <w:lang w:val="en-US" w:eastAsia="zh-CN"/>
        </w:rPr>
        <w:t>3.</w:t>
      </w:r>
      <w:r>
        <w:rPr>
          <w:rFonts w:hint="eastAsia" w:ascii="宋体" w:hAnsi="宋体" w:eastAsia="宋体" w:cs="宋体"/>
          <w:color w:val="auto"/>
          <w:sz w:val="32"/>
          <w:szCs w:val="32"/>
          <w:lang w:val="en-US" w:eastAsia="zh-CN"/>
        </w:rPr>
        <w:t>各门店</w:t>
      </w:r>
      <w:r>
        <w:rPr>
          <w:rFonts w:hint="eastAsia" w:ascii="宋体" w:hAnsi="宋体" w:cs="宋体"/>
          <w:color w:val="auto"/>
          <w:sz w:val="32"/>
          <w:szCs w:val="32"/>
          <w:lang w:val="en-US" w:eastAsia="zh-CN"/>
        </w:rPr>
        <w:t>务必</w:t>
      </w:r>
      <w:r>
        <w:rPr>
          <w:rFonts w:hint="eastAsia" w:ascii="宋体" w:hAnsi="宋体" w:eastAsia="宋体" w:cs="宋体"/>
          <w:color w:val="auto"/>
          <w:sz w:val="32"/>
          <w:szCs w:val="32"/>
          <w:lang w:val="en-US" w:eastAsia="zh-CN"/>
        </w:rPr>
        <w:t>高度重视门诊统筹基础工作、自觉遵守门诊统筹医保管理要求</w:t>
      </w:r>
      <w:r>
        <w:rPr>
          <w:rFonts w:hint="eastAsia" w:ascii="宋体" w:hAnsi="宋体" w:cs="宋体"/>
          <w:color w:val="auto"/>
          <w:sz w:val="32"/>
          <w:szCs w:val="32"/>
          <w:lang w:val="en-US" w:eastAsia="zh-CN"/>
        </w:rPr>
        <w:t>及</w:t>
      </w:r>
      <w:r>
        <w:rPr>
          <w:rFonts w:hint="eastAsia" w:ascii="宋体" w:hAnsi="宋体" w:eastAsia="宋体" w:cs="宋体"/>
          <w:color w:val="auto"/>
          <w:sz w:val="32"/>
          <w:szCs w:val="32"/>
          <w:lang w:val="en-US" w:eastAsia="zh-CN"/>
        </w:rPr>
        <w:t>规章制度，加强门诊统筹培训、严格按照</w:t>
      </w:r>
      <w:r>
        <w:rPr>
          <w:rFonts w:hint="eastAsia" w:ascii="宋体" w:hAnsi="宋体" w:cs="宋体"/>
          <w:color w:val="auto"/>
          <w:sz w:val="32"/>
          <w:szCs w:val="32"/>
          <w:lang w:val="en-US" w:eastAsia="zh-CN"/>
        </w:rPr>
        <w:t>医保协议及</w:t>
      </w:r>
      <w:r>
        <w:rPr>
          <w:rFonts w:hint="eastAsia" w:ascii="宋体" w:hAnsi="宋体" w:eastAsia="宋体" w:cs="宋体"/>
          <w:color w:val="auto"/>
          <w:sz w:val="32"/>
          <w:szCs w:val="32"/>
          <w:lang w:val="en-US" w:eastAsia="zh-CN"/>
        </w:rPr>
        <w:t>公司有关规定落实执行！</w:t>
      </w:r>
    </w:p>
    <w:p>
      <w:pPr>
        <w:spacing w:line="360" w:lineRule="auto"/>
        <w:ind w:firstLine="7680" w:firstLineChars="2400"/>
        <w:rPr>
          <w:rFonts w:hint="eastAsia" w:ascii="宋体" w:hAnsi="宋体" w:eastAsia="宋体" w:cs="宋体"/>
          <w:sz w:val="32"/>
          <w:szCs w:val="32"/>
          <w:lang w:eastAsia="zh-CN"/>
        </w:rPr>
      </w:pPr>
      <w:r>
        <w:rPr>
          <w:rFonts w:hint="eastAsia" w:ascii="宋体" w:hAnsi="宋体" w:eastAsia="宋体" w:cs="宋体"/>
          <w:sz w:val="32"/>
          <w:szCs w:val="32"/>
          <w:lang w:eastAsia="zh-CN"/>
        </w:rPr>
        <w:t>慢病部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 xml:space="preserve">                                        202</w:t>
      </w:r>
      <w:r>
        <w:rPr>
          <w:rFonts w:hint="eastAsia" w:ascii="宋体" w:hAnsi="宋体" w:eastAsia="宋体" w:cs="宋体"/>
          <w:sz w:val="32"/>
          <w:szCs w:val="32"/>
          <w:lang w:val="en-US" w:eastAsia="zh-CN"/>
        </w:rPr>
        <w:t>4</w:t>
      </w:r>
      <w:r>
        <w:rPr>
          <w:rFonts w:hint="eastAsia" w:ascii="宋体" w:hAnsi="宋体" w:eastAsia="宋体" w:cs="宋体"/>
          <w:sz w:val="32"/>
          <w:szCs w:val="32"/>
        </w:rPr>
        <w:t>年</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29</w:t>
      </w:r>
      <w:r>
        <w:rPr>
          <w:rFonts w:hint="eastAsia" w:ascii="宋体" w:hAnsi="宋体" w:eastAsia="宋体" w:cs="宋体"/>
          <w:sz w:val="32"/>
          <w:szCs w:val="32"/>
        </w:rPr>
        <w:t>日</w:t>
      </w:r>
    </w:p>
    <w:p>
      <w:pPr>
        <w:spacing w:line="580" w:lineRule="exact"/>
        <w:rPr>
          <w:rFonts w:hint="eastAsia" w:ascii="宋体" w:hAnsi="宋体" w:eastAsia="宋体" w:cs="宋体"/>
          <w:b w:val="0"/>
          <w:bCs w:val="0"/>
          <w:sz w:val="32"/>
          <w:szCs w:val="32"/>
          <w:u w:val="single"/>
        </w:rPr>
      </w:pPr>
      <w:r>
        <w:rPr>
          <w:rFonts w:hint="eastAsia" w:ascii="宋体" w:hAnsi="宋体" w:eastAsia="宋体" w:cs="宋体"/>
          <w:sz w:val="32"/>
          <w:szCs w:val="32"/>
          <w:u w:val="single"/>
        </w:rPr>
        <w:t xml:space="preserve">主题词： </w:t>
      </w:r>
      <w:r>
        <w:rPr>
          <w:rFonts w:hint="eastAsia" w:ascii="宋体" w:hAnsi="宋体" w:eastAsia="宋体" w:cs="宋体"/>
          <w:sz w:val="32"/>
          <w:szCs w:val="32"/>
          <w:u w:val="single"/>
          <w:lang w:eastAsia="zh-CN"/>
        </w:rPr>
        <w:t>观音桥</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lang w:eastAsia="zh-CN"/>
        </w:rPr>
        <w:t>旗舰店</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lang w:eastAsia="zh-CN"/>
        </w:rPr>
        <w:t>门诊统筹</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lang w:eastAsia="zh-CN"/>
        </w:rPr>
        <w:t>检查处罚          通报</w:t>
      </w:r>
      <w:r>
        <w:rPr>
          <w:rFonts w:hint="eastAsia" w:ascii="宋体" w:hAnsi="宋体" w:eastAsia="宋体" w:cs="宋体"/>
          <w:b w:val="0"/>
          <w:bCs w:val="0"/>
          <w:sz w:val="32"/>
          <w:szCs w:val="32"/>
          <w:u w:val="single"/>
        </w:rPr>
        <w:t xml:space="preserve">                      </w:t>
      </w:r>
    </w:p>
    <w:p>
      <w:pPr>
        <w:spacing w:line="580" w:lineRule="exact"/>
        <w:rPr>
          <w:rFonts w:hint="eastAsia" w:ascii="宋体" w:hAnsi="宋体" w:eastAsia="宋体" w:cs="宋体"/>
          <w:b w:val="0"/>
          <w:bCs w:val="0"/>
          <w:sz w:val="32"/>
          <w:szCs w:val="32"/>
          <w:u w:val="single"/>
        </w:rPr>
      </w:pPr>
      <w:r>
        <w:rPr>
          <w:rFonts w:hint="eastAsia" w:ascii="宋体" w:hAnsi="宋体" w:eastAsia="宋体" w:cs="宋体"/>
          <w:b w:val="0"/>
          <w:bCs w:val="0"/>
          <w:sz w:val="32"/>
          <w:szCs w:val="32"/>
          <w:u w:val="single"/>
        </w:rPr>
        <w:t>四川太极大药房连锁有限公司                       202</w:t>
      </w:r>
      <w:r>
        <w:rPr>
          <w:rFonts w:hint="eastAsia" w:ascii="宋体" w:hAnsi="宋体" w:eastAsia="宋体" w:cs="宋体"/>
          <w:b w:val="0"/>
          <w:bCs w:val="0"/>
          <w:sz w:val="32"/>
          <w:szCs w:val="32"/>
          <w:u w:val="single"/>
          <w:lang w:val="en-US" w:eastAsia="zh-CN"/>
        </w:rPr>
        <w:t>4</w:t>
      </w:r>
      <w:r>
        <w:rPr>
          <w:rFonts w:hint="eastAsia" w:ascii="宋体" w:hAnsi="宋体" w:eastAsia="宋体" w:cs="宋体"/>
          <w:b w:val="0"/>
          <w:bCs w:val="0"/>
          <w:sz w:val="32"/>
          <w:szCs w:val="32"/>
          <w:u w:val="single"/>
        </w:rPr>
        <w:t>年</w:t>
      </w:r>
      <w:r>
        <w:rPr>
          <w:rFonts w:hint="eastAsia" w:ascii="宋体" w:hAnsi="宋体" w:eastAsia="宋体" w:cs="宋体"/>
          <w:b w:val="0"/>
          <w:bCs w:val="0"/>
          <w:sz w:val="32"/>
          <w:szCs w:val="32"/>
          <w:u w:val="single"/>
          <w:lang w:val="en-US" w:eastAsia="zh-CN"/>
        </w:rPr>
        <w:t>3</w:t>
      </w:r>
      <w:r>
        <w:rPr>
          <w:rFonts w:hint="eastAsia" w:ascii="宋体" w:hAnsi="宋体" w:eastAsia="宋体" w:cs="宋体"/>
          <w:b w:val="0"/>
          <w:bCs w:val="0"/>
          <w:sz w:val="32"/>
          <w:szCs w:val="32"/>
          <w:u w:val="single"/>
        </w:rPr>
        <w:t>月</w:t>
      </w:r>
      <w:r>
        <w:rPr>
          <w:rFonts w:hint="eastAsia" w:ascii="宋体" w:hAnsi="宋体" w:eastAsia="宋体" w:cs="宋体"/>
          <w:b w:val="0"/>
          <w:bCs w:val="0"/>
          <w:sz w:val="32"/>
          <w:szCs w:val="32"/>
          <w:u w:val="single"/>
          <w:lang w:val="en-US" w:eastAsia="zh-CN"/>
        </w:rPr>
        <w:t>29</w:t>
      </w:r>
      <w:r>
        <w:rPr>
          <w:rFonts w:hint="eastAsia" w:ascii="宋体" w:hAnsi="宋体" w:eastAsia="宋体" w:cs="宋体"/>
          <w:b w:val="0"/>
          <w:bCs w:val="0"/>
          <w:sz w:val="32"/>
          <w:szCs w:val="32"/>
          <w:u w:val="single"/>
        </w:rPr>
        <w:t xml:space="preserve">日印发 </w:t>
      </w:r>
    </w:p>
    <w:p>
      <w:pPr>
        <w:spacing w:line="580" w:lineRule="exact"/>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sz w:val="32"/>
          <w:szCs w:val="32"/>
        </w:rPr>
        <w:t>拟稿：</w:t>
      </w:r>
      <w:r>
        <w:rPr>
          <w:rFonts w:hint="eastAsia" w:ascii="宋体" w:hAnsi="宋体" w:eastAsia="宋体" w:cs="宋体"/>
          <w:b w:val="0"/>
          <w:bCs w:val="0"/>
          <w:sz w:val="32"/>
          <w:szCs w:val="32"/>
          <w:lang w:eastAsia="zh-CN"/>
        </w:rPr>
        <w:t>周红蓉</w:t>
      </w:r>
      <w:r>
        <w:rPr>
          <w:rFonts w:hint="eastAsia" w:ascii="宋体" w:hAnsi="宋体" w:eastAsia="宋体" w:cs="宋体"/>
          <w:b w:val="0"/>
          <w:bCs w:val="0"/>
          <w:sz w:val="32"/>
          <w:szCs w:val="32"/>
        </w:rPr>
        <w:t xml:space="preserve">                            核对：</w:t>
      </w:r>
      <w:r>
        <w:rPr>
          <w:rFonts w:hint="eastAsia" w:ascii="宋体" w:hAnsi="宋体" w:eastAsia="宋体" w:cs="宋体"/>
          <w:b w:val="0"/>
          <w:bCs w:val="0"/>
          <w:sz w:val="32"/>
          <w:szCs w:val="32"/>
          <w:lang w:eastAsia="zh-CN"/>
        </w:rPr>
        <w:t>陈柳</w:t>
      </w:r>
      <w:r>
        <w:rPr>
          <w:rFonts w:hint="eastAsia" w:ascii="宋体" w:hAnsi="宋体" w:eastAsia="宋体" w:cs="宋体"/>
          <w:b w:val="0"/>
          <w:bCs w:val="0"/>
          <w:sz w:val="32"/>
          <w:szCs w:val="32"/>
        </w:rPr>
        <w:t xml:space="preserve"> （共印1份）</w:t>
      </w:r>
    </w:p>
    <w:p>
      <w:pPr>
        <w:rPr>
          <w:rFonts w:hint="eastAsia" w:ascii="宋体" w:hAnsi="宋体" w:eastAsia="宋体" w:cs="宋体"/>
          <w:sz w:val="32"/>
          <w:szCs w:val="32"/>
        </w:rPr>
      </w:pPr>
    </w:p>
    <w:sectPr>
      <w:pgSz w:w="11906" w:h="16838"/>
      <w:pgMar w:top="1043" w:right="1066" w:bottom="104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DFEFC"/>
    <w:multiLevelType w:val="singleLevel"/>
    <w:tmpl w:val="A87DFE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DE3NjBiZDdiMTg5ZGM0MDY2ZjQzMTllOGY1ZDcifQ=="/>
  </w:docVars>
  <w:rsids>
    <w:rsidRoot w:val="00000000"/>
    <w:rsid w:val="03380DC4"/>
    <w:rsid w:val="07EA42D2"/>
    <w:rsid w:val="0C4C4B44"/>
    <w:rsid w:val="0C760F26"/>
    <w:rsid w:val="0C8C5E6D"/>
    <w:rsid w:val="0F784FB5"/>
    <w:rsid w:val="111A6D0D"/>
    <w:rsid w:val="127A7296"/>
    <w:rsid w:val="12C43AFC"/>
    <w:rsid w:val="143811B7"/>
    <w:rsid w:val="15727625"/>
    <w:rsid w:val="1BF02C62"/>
    <w:rsid w:val="1C7B4336"/>
    <w:rsid w:val="1CA4563B"/>
    <w:rsid w:val="1EAA4A5F"/>
    <w:rsid w:val="215201C3"/>
    <w:rsid w:val="21817CF9"/>
    <w:rsid w:val="22590C76"/>
    <w:rsid w:val="231B0931"/>
    <w:rsid w:val="23DC168B"/>
    <w:rsid w:val="24C31D6D"/>
    <w:rsid w:val="258C3110"/>
    <w:rsid w:val="26D47277"/>
    <w:rsid w:val="2A1D6EBF"/>
    <w:rsid w:val="2BB1567F"/>
    <w:rsid w:val="2BF612E4"/>
    <w:rsid w:val="2CB43679"/>
    <w:rsid w:val="2E772BB0"/>
    <w:rsid w:val="2F3215FA"/>
    <w:rsid w:val="31F71DDC"/>
    <w:rsid w:val="33B57CD6"/>
    <w:rsid w:val="33D4119C"/>
    <w:rsid w:val="355E0C9B"/>
    <w:rsid w:val="36257395"/>
    <w:rsid w:val="38B44A00"/>
    <w:rsid w:val="42120643"/>
    <w:rsid w:val="423F17DF"/>
    <w:rsid w:val="431E7646"/>
    <w:rsid w:val="43C401ED"/>
    <w:rsid w:val="443B7D84"/>
    <w:rsid w:val="45CF4C28"/>
    <w:rsid w:val="489E1AEF"/>
    <w:rsid w:val="4A9F106C"/>
    <w:rsid w:val="4AB51507"/>
    <w:rsid w:val="4AD30D16"/>
    <w:rsid w:val="4BE4107A"/>
    <w:rsid w:val="4D897DB2"/>
    <w:rsid w:val="4DAE020B"/>
    <w:rsid w:val="4DC64B62"/>
    <w:rsid w:val="50BE74BB"/>
    <w:rsid w:val="51E470AB"/>
    <w:rsid w:val="53416F84"/>
    <w:rsid w:val="54BE47E5"/>
    <w:rsid w:val="55AE2AAB"/>
    <w:rsid w:val="5A9E59AE"/>
    <w:rsid w:val="5ACE05A9"/>
    <w:rsid w:val="5D0007B0"/>
    <w:rsid w:val="5D8E7A56"/>
    <w:rsid w:val="5D944885"/>
    <w:rsid w:val="5DED613B"/>
    <w:rsid w:val="5F335DCF"/>
    <w:rsid w:val="5F6A6D9F"/>
    <w:rsid w:val="62AD160B"/>
    <w:rsid w:val="638135AD"/>
    <w:rsid w:val="65DB4536"/>
    <w:rsid w:val="685E5C6B"/>
    <w:rsid w:val="689A2272"/>
    <w:rsid w:val="68B41D2F"/>
    <w:rsid w:val="6A0B3BD1"/>
    <w:rsid w:val="703A6FBE"/>
    <w:rsid w:val="74C96B62"/>
    <w:rsid w:val="74D91A77"/>
    <w:rsid w:val="751C487E"/>
    <w:rsid w:val="76FB3865"/>
    <w:rsid w:val="784F55D0"/>
    <w:rsid w:val="7B5D6256"/>
    <w:rsid w:val="7BB20F60"/>
    <w:rsid w:val="7BC41CE5"/>
    <w:rsid w:val="7DFF1847"/>
    <w:rsid w:val="7E663674"/>
    <w:rsid w:val="7E835FD4"/>
    <w:rsid w:val="7FD118AD"/>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244</Words>
  <Characters>259</Characters>
  <Lines>0</Lines>
  <Paragraphs>0</Paragraphs>
  <TotalTime>21</TotalTime>
  <ScaleCrop>false</ScaleCrop>
  <LinksUpToDate>false</LinksUpToDate>
  <CharactersWithSpaces>450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2023-10-23T10:16:00Z</dcterms:created>
  <dc:creator>Administrator</dc:creator>
  <cp:lastModifiedBy>周红蓉</cp:lastModifiedBy>
  <dcterms:modified xsi:type="dcterms:W3CDTF">2024-04-01T11:23:36Z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AF4B19B2A5C9406683E3F567C42C3422_13</vt:lpwstr>
  </property>
</Properties>
</file>