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各片区及门店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: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附表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月慢病回访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明细表，现通报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月回访数据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情况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如下：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门店数据情况：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门店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总任务：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2326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1946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人次、挂零门店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家、挂零人员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89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人；达成率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83.7%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；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80"/>
        <w:gridCol w:w="1680"/>
        <w:gridCol w:w="1680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总任务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参与人员人数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慢病专员总任务：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3200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人次，差额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：3193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人次，达成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0.02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%</w:t>
      </w:r>
    </w:p>
    <w:bookmarkEnd w:id="0"/>
    <w:tbl>
      <w:tblPr>
        <w:tblStyle w:val="2"/>
        <w:tblW w:w="3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专员任务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专员实际回访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片区数据情况：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旗舰片区、新津片区超额完成，其余片区均未完成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tbl>
      <w:tblPr>
        <w:tblStyle w:val="2"/>
        <w:tblpPr w:leftFromText="180" w:rightFromText="180" w:vertAnchor="text" w:horzAnchor="page" w:tblpXSpec="center" w:tblpY="231"/>
        <w:tblOverlap w:val="never"/>
        <w:tblW w:w="10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49"/>
        <w:gridCol w:w="1365"/>
        <w:gridCol w:w="1560"/>
        <w:gridCol w:w="1140"/>
        <w:gridCol w:w="139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4月各片区慢病回访情况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参与回访人员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考核人员数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任务差额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处罚情况：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未完成员工：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175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人，共计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处罚分数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1790分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，</w:t>
      </w:r>
    </w:p>
    <w:tbl>
      <w:tblPr>
        <w:tblStyle w:val="2"/>
        <w:tblW w:w="3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未完成任务员工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处罚分数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具体处罚明细见附件一！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慢病佰策回访针对慢病品种明细内品种进行，最终回访数据仅包含回访合格条目。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73ED0FD1"/>
    <w:rsid w:val="73E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511</Characters>
  <Lines>0</Lines>
  <Paragraphs>0</Paragraphs>
  <TotalTime>6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2023-05-04T09:57:00Z</dcterms:created>
  <dc:creator>李小妹儿</dc:creator>
  <cp:lastModifiedBy>李小妹儿</cp:lastModifiedBy>
  <dcterms:modified xsi:type="dcterms:W3CDTF">2023-05-04T10:10:52Z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86713C0087F14BBA8524D216DFCF4DBA_11</vt:lpwstr>
  </property>
</Properties>
</file>