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薇诺娜下账方式</w:t>
      </w:r>
    </w:p>
    <w:p>
      <w:pPr>
        <w:numPr>
          <w:numId w:val="0"/>
        </w:numPr>
        <w:ind w:leftChars="0"/>
        <w:jc w:val="both"/>
        <w:rPr>
          <w:rFonts w:hint="eastAsia"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1.请门店在今天之内将“太极优选商城” 预售商品进行下账。</w:t>
      </w:r>
      <w:r>
        <w:rPr>
          <w:rFonts w:hint="eastAsia"/>
          <w:sz w:val="32"/>
          <w:szCs w:val="40"/>
          <w:lang w:val="en-US" w:eastAsia="zh-CN"/>
        </w:rPr>
        <w:t>门店统一在英克前台选择 收款ID62</w:t>
      </w: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“有赞小程序”</w:t>
      </w:r>
      <w:r>
        <w:rPr>
          <w:rFonts w:hint="eastAsia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进行预售期间的品种下账。有赞小程序下账金额必须于导出附表的</w:t>
      </w: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金额一致。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/>
          <w:color w:val="FF0000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266055" cy="453326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5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C8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2023-03-02T03:39:31Z</dcterms:created>
  <dc:creator>Administrator</dc:creator>
  <cp:lastModifiedBy>南风</cp:lastModifiedBy>
  <dcterms:modified xsi:type="dcterms:W3CDTF">2023-03-02T03:43:00Z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F1E7AA7E6D154638B9F45D8489AC50D2</vt:lpwstr>
  </property>
</Properties>
</file>