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303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10月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13.26%，过期率较9月增加3.24%，过期条数较9月增加39条。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73条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76条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10月问题总结如下：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93.72%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7.64%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0.46%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12.38%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973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973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6.99%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（1）门店出现整改过期项共计73条，上交成长金10元/条；9月处罚金额共：730元。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（2）城郊一片复检过期28条、城中片区复检过期22条、东南片区复检过期11条、城郊二片复检过期8条、西北片区复检过期7条。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（3）片区主管复检过期与绩效挂钩，片区过期率后2名，片区主管扣绩效分2分。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2021年11月23日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10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D2F3655"/>
    <w:rsid w:val="0F8E39BE"/>
    <w:rsid w:val="11774089"/>
    <w:rsid w:val="121D26A9"/>
    <w:rsid w:val="14841552"/>
    <w:rsid w:val="14A17708"/>
    <w:rsid w:val="16C94FFF"/>
    <w:rsid w:val="17F077A0"/>
    <w:rsid w:val="180604A5"/>
    <w:rsid w:val="1B1E3F12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7060B5C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47127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2F63E55"/>
    <w:rsid w:val="677824D3"/>
    <w:rsid w:val="67E60C24"/>
    <w:rsid w:val="68864CB9"/>
    <w:rsid w:val="69E644A6"/>
    <w:rsid w:val="6ADF4740"/>
    <w:rsid w:val="6D6A59B8"/>
    <w:rsid w:val="6E5724DA"/>
    <w:rsid w:val="6EBB0ACB"/>
    <w:rsid w:val="6F634364"/>
    <w:rsid w:val="708021EC"/>
    <w:rsid w:val="70BE40B3"/>
    <w:rsid w:val="71CA3178"/>
    <w:rsid w:val="73C94270"/>
    <w:rsid w:val="77633864"/>
    <w:rsid w:val="77FB097A"/>
    <w:rsid w:val="790937DA"/>
    <w:rsid w:val="7A6A72F4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2021-11-23T02:47:55Z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5A10D7D7C8774E6D8C2010E896E4054F</vt:lpwstr>
  </property>
</Properties>
</file>