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21）260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薇诺娜预售活动方案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color w:val="0000FF"/>
          <w:szCs w:val="21"/>
          <w:lang w:val="en-US" w:eastAsia="zh-CN"/>
        </w:rPr>
        <w:t>（不参与门店：旗舰店、十二桥、北东街、庆云南街）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超值回馈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买一送一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“预售”</w:t>
      </w:r>
      <w:r>
        <w:rPr>
          <w:rFonts w:hint="eastAsia" w:ascii="Arial" w:hAnsi="Arial" w:cs="Arial"/>
          <w:b/>
          <w:bCs/>
          <w:szCs w:val="21"/>
          <w:lang w:eastAsia="zh-CN"/>
        </w:rPr>
        <w:t>时间：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2021年10月1日—10月22日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“下账”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时间：2021年10月23日—10月28日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eastAsia="zh-CN"/>
        </w:rPr>
        <w:t>三、活动内容：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</w:t>
      </w:r>
      <w:r>
        <w:rPr>
          <w:rFonts w:hint="eastAsia"/>
          <w:b/>
          <w:bCs/>
        </w:rPr>
        <w:t>（生物膜、宝贝滋养霜、所有礼盒不参与活动）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买额再送礼：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实付满698元</w:t>
      </w:r>
      <w:r>
        <w:rPr>
          <w:rFonts w:hint="eastAsia"/>
          <w:sz w:val="21"/>
          <w:szCs w:val="21"/>
        </w:rPr>
        <w:t>，送价值218元【25ml*6 多效修护复合肽面膜】*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实付满1288元</w:t>
      </w:r>
      <w:r>
        <w:rPr>
          <w:rFonts w:hint="eastAsia"/>
          <w:sz w:val="21"/>
          <w:szCs w:val="21"/>
        </w:rPr>
        <w:t>，送价值436元【 25ml*6 多效修护复合肽面膜】*2</w:t>
      </w:r>
      <w:r>
        <w:rPr>
          <w:rFonts w:hint="eastAsia"/>
          <w:sz w:val="21"/>
          <w:szCs w:val="21"/>
          <w:lang w:eastAsia="zh-CN"/>
        </w:rPr>
        <w:t>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购薇诺娜全场</w:t>
      </w:r>
      <w:r>
        <w:rPr>
          <w:rFonts w:hint="eastAsia"/>
          <w:b/>
          <w:bCs/>
          <w:sz w:val="21"/>
          <w:szCs w:val="21"/>
        </w:rPr>
        <w:t>实付满2998元</w:t>
      </w:r>
      <w:r>
        <w:rPr>
          <w:rFonts w:hint="eastAsia"/>
          <w:sz w:val="21"/>
          <w:szCs w:val="21"/>
        </w:rPr>
        <w:t>，送价值872元【25ml*6 多效修护复合肽面膜】*4</w:t>
      </w:r>
      <w:r>
        <w:rPr>
          <w:rFonts w:hint="eastAsia"/>
          <w:sz w:val="21"/>
          <w:szCs w:val="21"/>
          <w:lang w:eastAsia="zh-CN"/>
        </w:rPr>
        <w:t>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价值</w:t>
      </w:r>
      <w:r>
        <w:rPr>
          <w:rFonts w:hint="eastAsia"/>
          <w:sz w:val="21"/>
          <w:szCs w:val="21"/>
          <w:lang w:val="en-US" w:eastAsia="zh-CN"/>
        </w:rPr>
        <w:t>498元</w:t>
      </w:r>
      <w:r>
        <w:rPr>
          <w:rFonts w:hint="eastAsia"/>
          <w:sz w:val="21"/>
          <w:szCs w:val="21"/>
        </w:rPr>
        <w:t>电煮锅</w:t>
      </w:r>
      <w:r>
        <w:rPr>
          <w:rFonts w:hint="eastAsia"/>
          <w:sz w:val="21"/>
          <w:szCs w:val="21"/>
          <w:lang w:eastAsia="zh-CN"/>
        </w:rPr>
        <w:t>一台。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078355" cy="2078355"/>
            <wp:effectExtent l="0" t="0" r="17145" b="17145"/>
            <wp:docPr id="4" name="图片 4" descr="1d207b23dd3c42e93f65fdfb241c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207b23dd3c42e93f65fdfb241c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54225" cy="202565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四、预售方式：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1、顾客预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>存20元抵40元，满568元抵40元，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与以上活动叠加享受。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2、顾客预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>存50元抵100元，满1268元抵100元，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与以上活动叠加享受。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五、操作方式：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1、顾客预存20元现金，门店发放一张40元抵用券（详见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>代金券模板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）给顾客，10月23-10月28日期间使用。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 xml:space="preserve"> 2、不参加预存，预售买1送1，门店暂不下账做好登记，预售结束统一时间下账（保证账货相符）。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3、下账时间：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10月23日—10月28日，针对预存顾客，英克系统满额自动抵扣。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宣传物料：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门店手写POP宣传，待厂家物料到后再更换。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ab/>
      </w:r>
      <w:r>
        <w:drawing>
          <wp:inline distT="0" distB="0" distL="114300" distR="114300">
            <wp:extent cx="1889125" cy="2534285"/>
            <wp:effectExtent l="0" t="0" r="15875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26590" cy="2575560"/>
            <wp:effectExtent l="0" t="0" r="1651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10月1日张贴在橱窗显眼处，发照片到各片钉钉群检核，片长检核通报。未执行门店上交20元成长金。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各片长每3天进行一次“薇诺娜预售情况”统计并上报营运部钉钉群。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人人宣传、亲朋好友均可参与：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门店预售任务：</w:t>
      </w:r>
    </w:p>
    <w:tbl>
      <w:tblPr>
        <w:tblStyle w:val="3"/>
        <w:tblW w:w="8235" w:type="dxa"/>
        <w:tblInd w:w="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70"/>
        <w:gridCol w:w="20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员工类型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预售任务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奖励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正式员工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lang w:val="en-US" w:eastAsia="zh-CN"/>
              </w:rPr>
              <w:t>不少于5个会员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lang w:val="en-US" w:eastAsia="zh-CN"/>
              </w:rPr>
              <w:t>个人积分50分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lang w:val="en-US" w:eastAsia="zh-CN"/>
              </w:rPr>
              <w:t>处罚100元</w:t>
            </w:r>
          </w:p>
        </w:tc>
      </w:tr>
    </w:tbl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10月    薇诺娜    预售     活动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5876B"/>
    <w:multiLevelType w:val="singleLevel"/>
    <w:tmpl w:val="0F3587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EBED54"/>
    <w:multiLevelType w:val="singleLevel"/>
    <w:tmpl w:val="14EBED5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B73F9A"/>
    <w:multiLevelType w:val="singleLevel"/>
    <w:tmpl w:val="15B73F9A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3">
    <w:nsid w:val="51508D88"/>
    <w:multiLevelType w:val="singleLevel"/>
    <w:tmpl w:val="51508D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75A1"/>
    <w:rsid w:val="02865B55"/>
    <w:rsid w:val="02B76E9B"/>
    <w:rsid w:val="04FC2B35"/>
    <w:rsid w:val="064B322E"/>
    <w:rsid w:val="07770A63"/>
    <w:rsid w:val="0ADE211A"/>
    <w:rsid w:val="0D5513C1"/>
    <w:rsid w:val="0F506D45"/>
    <w:rsid w:val="10DA28B3"/>
    <w:rsid w:val="11A81D0B"/>
    <w:rsid w:val="14110B00"/>
    <w:rsid w:val="14572227"/>
    <w:rsid w:val="160B0DD7"/>
    <w:rsid w:val="1ACA539B"/>
    <w:rsid w:val="1AE32C7D"/>
    <w:rsid w:val="1AE835B9"/>
    <w:rsid w:val="1E6F43C9"/>
    <w:rsid w:val="22540F9F"/>
    <w:rsid w:val="27581D81"/>
    <w:rsid w:val="28716FAE"/>
    <w:rsid w:val="29356ACE"/>
    <w:rsid w:val="29523721"/>
    <w:rsid w:val="2BB46C5D"/>
    <w:rsid w:val="2EA15E5D"/>
    <w:rsid w:val="34717039"/>
    <w:rsid w:val="34D04B91"/>
    <w:rsid w:val="37C867A3"/>
    <w:rsid w:val="38513BEA"/>
    <w:rsid w:val="3A122EDC"/>
    <w:rsid w:val="3ACE66C8"/>
    <w:rsid w:val="3B653BA1"/>
    <w:rsid w:val="3C3C0490"/>
    <w:rsid w:val="3C900B3F"/>
    <w:rsid w:val="3EE9605F"/>
    <w:rsid w:val="41370F7A"/>
    <w:rsid w:val="41A1677D"/>
    <w:rsid w:val="433658EC"/>
    <w:rsid w:val="44E06282"/>
    <w:rsid w:val="45CB183D"/>
    <w:rsid w:val="48161F70"/>
    <w:rsid w:val="4A3F7799"/>
    <w:rsid w:val="4A4B6376"/>
    <w:rsid w:val="4B112F64"/>
    <w:rsid w:val="503B5620"/>
    <w:rsid w:val="50F67E81"/>
    <w:rsid w:val="5126487A"/>
    <w:rsid w:val="53FC2096"/>
    <w:rsid w:val="55316003"/>
    <w:rsid w:val="5557671A"/>
    <w:rsid w:val="57F335C7"/>
    <w:rsid w:val="59B83A58"/>
    <w:rsid w:val="5B075100"/>
    <w:rsid w:val="5DEB1A24"/>
    <w:rsid w:val="5E1C33EB"/>
    <w:rsid w:val="5F5B4A64"/>
    <w:rsid w:val="60470A83"/>
    <w:rsid w:val="61661CBE"/>
    <w:rsid w:val="649B2E5F"/>
    <w:rsid w:val="64CF0A46"/>
    <w:rsid w:val="655D485E"/>
    <w:rsid w:val="6A005ECA"/>
    <w:rsid w:val="6A67782C"/>
    <w:rsid w:val="6AEA74CD"/>
    <w:rsid w:val="71995EB6"/>
    <w:rsid w:val="72B82465"/>
    <w:rsid w:val="75E60D99"/>
    <w:rsid w:val="77153481"/>
    <w:rsid w:val="77B651B6"/>
    <w:rsid w:val="7B6F74A5"/>
    <w:rsid w:val="7E70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2021-09-29T01:59:00Z</dcterms:created>
  <dc:creator>Administrator</dc:creator>
  <cp:lastModifiedBy>维维</cp:lastModifiedBy>
  <dcterms:modified xsi:type="dcterms:W3CDTF">2021-09-30T17:25:36Z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3FEE556EAA004828998F77CC62B4B110</vt:lpwstr>
  </property>
</Properties>
</file>