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营运部发【20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20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】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274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号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                     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签发人：</w:t>
      </w:r>
      <w:r>
        <w:rPr>
          <w:rFonts w:hint="eastAsia"/>
          <w:sz w:val="28"/>
          <w:szCs w:val="28"/>
          <w:lang w:val="en-US" w:eastAsia="zh-CN"/>
        </w:rPr>
        <w:t xml:space="preserve">  李坚    </w:t>
      </w: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br w:type="textWrapping"/>
      </w:r>
      <w:r>
        <w:rPr>
          <w:rFonts w:hint="eastAsia"/>
          <w:b/>
          <w:bCs/>
          <w:sz w:val="36"/>
          <w:szCs w:val="36"/>
          <w:lang w:val="en-US" w:eastAsia="zh-CN"/>
        </w:rPr>
        <w:t xml:space="preserve"> 丹参口服液爆破活动方案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一、活动时间：</w:t>
      </w:r>
      <w:r>
        <w:rPr>
          <w:rFonts w:hint="eastAsia"/>
          <w:b/>
          <w:bCs/>
          <w:sz w:val="24"/>
          <w:szCs w:val="24"/>
          <w:lang w:val="en-US" w:eastAsia="zh-CN"/>
        </w:rPr>
        <w:br w:type="textWrapping"/>
      </w:r>
      <w:r>
        <w:rPr>
          <w:rFonts w:hint="eastAsia"/>
          <w:sz w:val="24"/>
          <w:szCs w:val="24"/>
          <w:lang w:val="en-US" w:eastAsia="zh-CN"/>
        </w:rPr>
        <w:t>9月19日 - 9月22日。</w:t>
      </w:r>
    </w:p>
    <w:p>
      <w:pPr>
        <w:numPr>
          <w:ilvl w:val="0"/>
          <w:numId w:val="0"/>
        </w:num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二、活动主题：</w:t>
      </w:r>
      <w:r>
        <w:rPr>
          <w:rFonts w:hint="eastAsia"/>
          <w:b/>
          <w:bCs/>
          <w:sz w:val="24"/>
          <w:szCs w:val="24"/>
          <w:lang w:val="en-US" w:eastAsia="zh-CN"/>
        </w:rPr>
        <w:br w:type="textWrapping"/>
      </w:r>
      <w:r>
        <w:rPr>
          <w:rFonts w:hint="eastAsia"/>
          <w:sz w:val="24"/>
          <w:szCs w:val="24"/>
          <w:lang w:val="en-US" w:eastAsia="zh-CN"/>
        </w:rPr>
        <w:t>双节同庆，提前嗨购。</w:t>
      </w:r>
    </w:p>
    <w:p>
      <w:pPr>
        <w:numPr>
          <w:ilvl w:val="0"/>
          <w:numId w:val="0"/>
        </w:num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三、活动政策：</w:t>
      </w:r>
      <w:r>
        <w:rPr>
          <w:rFonts w:hint="eastAsia"/>
          <w:b/>
          <w:bCs/>
          <w:sz w:val="24"/>
          <w:szCs w:val="24"/>
          <w:lang w:val="en-US" w:eastAsia="zh-CN"/>
        </w:rPr>
        <w:br w:type="textWrapping"/>
      </w:r>
      <w:r>
        <w:rPr>
          <w:rFonts w:hint="eastAsia"/>
          <w:sz w:val="24"/>
          <w:szCs w:val="24"/>
          <w:lang w:val="en-US" w:eastAsia="zh-CN"/>
        </w:rPr>
        <w:t>套餐1：买5盒得10盒。</w:t>
      </w:r>
      <w:r>
        <w:rPr>
          <w:rFonts w:hint="eastAsia"/>
          <w:color w:val="0000FF"/>
          <w:sz w:val="24"/>
          <w:szCs w:val="24"/>
          <w:lang w:val="en-US" w:eastAsia="zh-CN"/>
        </w:rPr>
        <w:t>（买5盒+0.1元换购5盒）</w:t>
      </w:r>
    </w:p>
    <w:p>
      <w:pPr>
        <w:numPr>
          <w:ilvl w:val="0"/>
          <w:numId w:val="0"/>
        </w:num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套餐2：买10盒得22盒。</w:t>
      </w:r>
      <w:r>
        <w:rPr>
          <w:rFonts w:hint="eastAsia"/>
          <w:color w:val="0000FF"/>
          <w:sz w:val="24"/>
          <w:szCs w:val="24"/>
          <w:lang w:val="en-US" w:eastAsia="zh-CN"/>
        </w:rPr>
        <w:t>（买10盒+0.1元换购12盒）</w:t>
      </w:r>
    </w:p>
    <w:p>
      <w:pPr>
        <w:numPr>
          <w:ilvl w:val="0"/>
          <w:numId w:val="0"/>
        </w:num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套餐3.：买1件（80盒）得180盒。</w:t>
      </w:r>
      <w:r>
        <w:rPr>
          <w:rFonts w:hint="eastAsia"/>
          <w:color w:val="0000FF"/>
          <w:sz w:val="24"/>
          <w:szCs w:val="24"/>
          <w:lang w:val="en-US" w:eastAsia="zh-CN"/>
        </w:rPr>
        <w:t>（买80盒+0.1元换购100盒）</w:t>
      </w:r>
      <w:r>
        <w:rPr>
          <w:rFonts w:hint="eastAsia"/>
          <w:sz w:val="24"/>
          <w:szCs w:val="24"/>
          <w:lang w:val="en-US" w:eastAsia="zh-CN"/>
        </w:rPr>
        <w:br w:type="textWrapping"/>
      </w:r>
      <w:r>
        <w:rPr>
          <w:rFonts w:hint="eastAsia"/>
          <w:sz w:val="24"/>
          <w:szCs w:val="24"/>
          <w:lang w:val="en-US" w:eastAsia="zh-CN"/>
        </w:rPr>
        <w:t>零售价：29.9元/盒</w:t>
      </w:r>
    </w:p>
    <w:p>
      <w:pPr>
        <w:numPr>
          <w:ilvl w:val="0"/>
          <w:numId w:val="0"/>
        </w:num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四、活动任务：</w:t>
      </w:r>
      <w:r>
        <w:rPr>
          <w:rFonts w:hint="eastAsia"/>
          <w:b/>
          <w:bCs/>
          <w:sz w:val="24"/>
          <w:szCs w:val="24"/>
          <w:lang w:val="en-US" w:eastAsia="zh-CN"/>
        </w:rPr>
        <w:br w:type="textWrapping"/>
      </w:r>
      <w:r>
        <w:rPr>
          <w:rFonts w:hint="eastAsia"/>
          <w:sz w:val="24"/>
          <w:szCs w:val="24"/>
          <w:lang w:val="en-US" w:eastAsia="zh-CN"/>
        </w:rPr>
        <w:t>13350盒、赠品也算任务（明细详见附表）</w:t>
      </w:r>
    </w:p>
    <w:p>
      <w:pPr>
        <w:numPr>
          <w:ilvl w:val="0"/>
          <w:numId w:val="0"/>
        </w:numPr>
        <w:spacing w:line="360" w:lineRule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五、厂家支持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1、门店支援：13家（后附明细）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2、培训时提供海报、单页、医药导报。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3、有促销人员门店自带免费检测仪器。</w:t>
      </w:r>
    </w:p>
    <w:p>
      <w:pPr>
        <w:numPr>
          <w:ilvl w:val="0"/>
          <w:numId w:val="0"/>
        </w:num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五、陈列及宣传</w:t>
      </w:r>
    </w:p>
    <w:p>
      <w:pPr>
        <w:numPr>
          <w:ilvl w:val="0"/>
          <w:numId w:val="0"/>
        </w:numPr>
        <w:spacing w:line="360" w:lineRule="auto"/>
        <w:ind w:firstLine="48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1、门店立式展架，玻璃前柜堆头，店外购物篮陈列、pop、A4宣传页、爆炸卡（内容：活动政策、功效、疗程）。如图所示：</w:t>
      </w:r>
      <w:r>
        <w:rPr>
          <w:rFonts w:hint="eastAsia"/>
          <w:sz w:val="24"/>
          <w:szCs w:val="24"/>
          <w:lang w:val="en-US" w:eastAsia="zh-CN"/>
        </w:rPr>
        <w:br w:type="textWrapping"/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978785" cy="3910965"/>
            <wp:effectExtent l="0" t="0" r="12065" b="13335"/>
            <wp:docPr id="2" name="图片 2" descr="IMG_20200917_19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00917_1916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78785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087880" cy="3712845"/>
            <wp:effectExtent l="0" t="0" r="7620" b="1905"/>
            <wp:docPr id="1" name="图片 1" descr="MTXX_20200917185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TXX_202009171859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br w:type="textWrapping"/>
      </w:r>
      <w:r>
        <w:br w:type="textWrapping"/>
      </w:r>
      <w:r>
        <w:drawing>
          <wp:inline distT="0" distB="0" distL="114300" distR="114300">
            <wp:extent cx="5071745" cy="2867025"/>
            <wp:effectExtent l="0" t="0" r="14605" b="952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br w:type="textWrapping"/>
      </w:r>
      <w:r>
        <w:rPr>
          <w:rFonts w:hint="eastAsia"/>
          <w:color w:val="0000FF"/>
          <w:sz w:val="24"/>
          <w:szCs w:val="24"/>
          <w:lang w:val="en-US" w:eastAsia="zh-CN"/>
        </w:rPr>
        <w:t>备注：无购物篮及玻璃前柜可以不进行此两项陈列，但必须保证立架陈列。</w:t>
      </w:r>
      <w:r>
        <w:rPr>
          <w:rFonts w:hint="eastAsia"/>
          <w:color w:val="0000FF"/>
          <w:sz w:val="24"/>
          <w:szCs w:val="24"/>
          <w:lang w:val="en-US" w:eastAsia="zh-CN"/>
        </w:rPr>
        <w:br w:type="textWrapping"/>
      </w:r>
      <w:r>
        <w:rPr>
          <w:rFonts w:hint="eastAsia"/>
          <w:color w:val="FF0000"/>
          <w:sz w:val="24"/>
          <w:szCs w:val="24"/>
          <w:lang w:val="en-US" w:eastAsia="zh-CN"/>
        </w:rPr>
        <w:t>pop请悬挂在橱窗处、店内。</w:t>
      </w:r>
      <w:r>
        <w:rPr>
          <w:rFonts w:hint="eastAsia"/>
          <w:sz w:val="24"/>
          <w:szCs w:val="24"/>
          <w:lang w:val="en-US" w:eastAsia="zh-CN"/>
        </w:rPr>
        <w:br w:type="textWrapping"/>
      </w:r>
      <w:r>
        <w:rPr>
          <w:rFonts w:hint="eastAsia"/>
          <w:sz w:val="24"/>
          <w:szCs w:val="24"/>
          <w:lang w:val="en-US" w:eastAsia="zh-CN"/>
        </w:rPr>
        <w:t>请按上图模板进行陈列，</w:t>
      </w:r>
      <w:r>
        <w:rPr>
          <w:rFonts w:ascii="Arial" w:hAnsi="Arial" w:eastAsia="宋体" w:cs="Arial"/>
          <w:b/>
          <w:i w:val="0"/>
          <w:caps w:val="0"/>
          <w:color w:val="FF0000"/>
          <w:spacing w:val="0"/>
          <w:sz w:val="24"/>
          <w:szCs w:val="24"/>
          <w:shd w:val="clear" w:fill="FFFFFF"/>
        </w:rPr>
        <w:t>请今日17点前完成，发片区群、请片长今日20点前完成检核，并回复检核结果，逾期未发送罚款20元/店，片长未检核完成扣绩效分2分</w:t>
      </w:r>
      <w:r>
        <w:rPr>
          <w:rFonts w:ascii="Arial" w:hAnsi="Arial" w:eastAsia="宋体" w:cs="Arial"/>
          <w:b/>
          <w:i w:val="0"/>
          <w:caps w:val="0"/>
          <w:color w:val="FF0000"/>
          <w:spacing w:val="0"/>
          <w:sz w:val="48"/>
          <w:szCs w:val="48"/>
          <w:shd w:val="clear" w:fill="FFFFFF"/>
        </w:rPr>
        <w:t>。</w:t>
      </w:r>
      <w:r>
        <w:rPr>
          <w:rFonts w:ascii="Arial" w:hAnsi="Arial" w:eastAsia="宋体" w:cs="Arial"/>
          <w:b/>
          <w:i w:val="0"/>
          <w:caps w:val="0"/>
          <w:color w:val="FF0000"/>
          <w:spacing w:val="0"/>
          <w:sz w:val="48"/>
          <w:szCs w:val="48"/>
          <w:shd w:val="clear" w:fill="FFFFFF"/>
        </w:rPr>
        <w:br w:type="textWrapping"/>
      </w:r>
      <w:bookmarkStart w:id="0" w:name="_GoBack"/>
      <w:bookmarkEnd w:id="0"/>
      <w:r>
        <w:rPr>
          <w:rFonts w:hint="eastAsia"/>
          <w:sz w:val="24"/>
          <w:szCs w:val="24"/>
          <w:lang w:val="en-US" w:eastAsia="zh-CN"/>
        </w:rPr>
        <w:t>2、电话通知慢病患者免费体检血压和心脑血管疾病、电话通知丹参老顾客-宣传丹参口服液活动政策。顾客名单及回访通知详见“病部发【037】号文”。</w:t>
      </w:r>
    </w:p>
    <w:p>
      <w:pPr>
        <w:numPr>
          <w:ilvl w:val="0"/>
          <w:numId w:val="0"/>
        </w:numPr>
        <w:spacing w:line="360" w:lineRule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六、奖励政策</w:t>
      </w:r>
      <w:r>
        <w:rPr>
          <w:rFonts w:hint="eastAsia"/>
          <w:b/>
          <w:bCs/>
          <w:sz w:val="24"/>
          <w:szCs w:val="24"/>
          <w:lang w:val="en-US" w:eastAsia="zh-CN"/>
        </w:rPr>
        <w:br w:type="textWrapping"/>
      </w:r>
      <w:r>
        <w:rPr>
          <w:rFonts w:hint="eastAsia"/>
          <w:b/>
          <w:bCs/>
          <w:sz w:val="24"/>
          <w:szCs w:val="24"/>
          <w:lang w:val="en-US" w:eastAsia="zh-CN"/>
        </w:rPr>
        <w:t>1、店员销售奖励：</w:t>
      </w:r>
      <w:r>
        <w:rPr>
          <w:rFonts w:hint="eastAsia"/>
          <w:b/>
          <w:bCs/>
          <w:sz w:val="24"/>
          <w:szCs w:val="24"/>
          <w:lang w:val="en-US" w:eastAsia="zh-CN"/>
        </w:rPr>
        <w:br w:type="textWrapping"/>
      </w: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套餐1晒单每盒奖励2元</w:t>
      </w: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br w:type="textWrapping"/>
      </w: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套餐2每盒奖励3元</w:t>
      </w: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br w:type="textWrapping"/>
      </w: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套餐3每盒奖励3元（累计增加，赠品不纳入奖励政策）</w:t>
      </w: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br w:type="textWrapping"/>
      </w:r>
      <w:r>
        <w:rPr>
          <w:rFonts w:hint="eastAsia"/>
          <w:b w:val="0"/>
          <w:bCs w:val="0"/>
          <w:color w:val="0000FF"/>
          <w:sz w:val="24"/>
          <w:szCs w:val="24"/>
          <w:lang w:val="en-US" w:eastAsia="zh-CN"/>
        </w:rPr>
        <w:t>以上奖励以谁销售谁受益为原则，在营运部及时晒单群中晒单，厂家根据晒单发放奖励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br w:type="textWrapping"/>
      </w: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2、门店PK奖励</w:t>
      </w: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br w:type="textWrapping"/>
      </w: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在完成任务的基础上，每组销售数量最高的门店获胜，奖励200元</w:t>
      </w:r>
    </w:p>
    <w:tbl>
      <w:tblPr>
        <w:tblStyle w:val="2"/>
        <w:tblpPr w:leftFromText="180" w:rightFromText="180" w:vertAnchor="text" w:horzAnchor="page" w:tblpX="1752" w:tblpY="158"/>
        <w:tblOverlap w:val="never"/>
        <w:tblW w:w="9205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2"/>
        <w:gridCol w:w="827"/>
        <w:gridCol w:w="4251"/>
        <w:gridCol w:w="1635"/>
        <w:gridCol w:w="840"/>
        <w:gridCol w:w="1140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920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9.19-9.22日门店丹参pk门店（厂家支援门店）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门店ID</w:t>
            </w:r>
          </w:p>
        </w:tc>
        <w:tc>
          <w:tcPr>
            <w:tcW w:w="4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门店名称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片区名称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场地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丹参pk分组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</w:t>
            </w:r>
          </w:p>
        </w:tc>
        <w:tc>
          <w:tcPr>
            <w:tcW w:w="4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四川太极旗舰店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旗舰片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店外</w:t>
            </w:r>
          </w:p>
        </w:tc>
        <w:tc>
          <w:tcPr>
            <w:tcW w:w="11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582</w:t>
            </w:r>
          </w:p>
        </w:tc>
        <w:tc>
          <w:tcPr>
            <w:tcW w:w="4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四川太极青羊区十二桥药店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西北片区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店外</w:t>
            </w:r>
          </w:p>
        </w:tc>
        <w:tc>
          <w:tcPr>
            <w:tcW w:w="11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82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341</w:t>
            </w:r>
          </w:p>
        </w:tc>
        <w:tc>
          <w:tcPr>
            <w:tcW w:w="42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邛崃中心店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城郊一片/邛崃片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店外</w:t>
            </w:r>
          </w:p>
        </w:tc>
        <w:tc>
          <w:tcPr>
            <w:tcW w:w="11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514</w:t>
            </w:r>
          </w:p>
        </w:tc>
        <w:tc>
          <w:tcPr>
            <w:tcW w:w="4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四川太极新津邓双镇岷江店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城郊一片/新津片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店外</w:t>
            </w:r>
          </w:p>
        </w:tc>
        <w:tc>
          <w:tcPr>
            <w:tcW w:w="11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581</w:t>
            </w:r>
          </w:p>
        </w:tc>
        <w:tc>
          <w:tcPr>
            <w:tcW w:w="4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四川太极成华区二环路北四段药店（汇融名城）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城中片区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店外</w:t>
            </w:r>
          </w:p>
        </w:tc>
        <w:tc>
          <w:tcPr>
            <w:tcW w:w="11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585</w:t>
            </w:r>
          </w:p>
        </w:tc>
        <w:tc>
          <w:tcPr>
            <w:tcW w:w="4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四川太极成华区羊子山西路药店（兴元华盛）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城中片区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店外</w:t>
            </w:r>
          </w:p>
        </w:tc>
        <w:tc>
          <w:tcPr>
            <w:tcW w:w="11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511</w:t>
            </w:r>
          </w:p>
        </w:tc>
        <w:tc>
          <w:tcPr>
            <w:tcW w:w="4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四川太极成华杉板桥南一路店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城中片区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店外</w:t>
            </w:r>
          </w:p>
        </w:tc>
        <w:tc>
          <w:tcPr>
            <w:tcW w:w="11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572</w:t>
            </w:r>
          </w:p>
        </w:tc>
        <w:tc>
          <w:tcPr>
            <w:tcW w:w="4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四川太极郫县郫筒镇东大街药店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城中片区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店外</w:t>
            </w:r>
          </w:p>
        </w:tc>
        <w:tc>
          <w:tcPr>
            <w:tcW w:w="11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737</w:t>
            </w:r>
          </w:p>
        </w:tc>
        <w:tc>
          <w:tcPr>
            <w:tcW w:w="4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四川太极高新区大源北街药店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东南片区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店外</w:t>
            </w:r>
          </w:p>
        </w:tc>
        <w:tc>
          <w:tcPr>
            <w:tcW w:w="11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709</w:t>
            </w:r>
          </w:p>
        </w:tc>
        <w:tc>
          <w:tcPr>
            <w:tcW w:w="4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四川太极新都区马超东路店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西北片区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店外</w:t>
            </w:r>
          </w:p>
        </w:tc>
        <w:tc>
          <w:tcPr>
            <w:tcW w:w="11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107658</w:t>
            </w:r>
          </w:p>
        </w:tc>
        <w:tc>
          <w:tcPr>
            <w:tcW w:w="4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四川太极新都区新都街道万和北路药店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西北片区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店外</w:t>
            </w:r>
          </w:p>
        </w:tc>
        <w:tc>
          <w:tcPr>
            <w:tcW w:w="11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102934</w:t>
            </w:r>
          </w:p>
        </w:tc>
        <w:tc>
          <w:tcPr>
            <w:tcW w:w="4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四川太极金牛区银河北街药店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西北片区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店外</w:t>
            </w:r>
          </w:p>
        </w:tc>
        <w:tc>
          <w:tcPr>
            <w:tcW w:w="11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114622</w:t>
            </w:r>
          </w:p>
        </w:tc>
        <w:tc>
          <w:tcPr>
            <w:tcW w:w="4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四川太极成华区东昌路一药店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城中片区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店外</w:t>
            </w:r>
          </w:p>
        </w:tc>
        <w:tc>
          <w:tcPr>
            <w:tcW w:w="11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</w:tbl>
    <w:p>
      <w:pPr>
        <w:numPr>
          <w:ilvl w:val="0"/>
          <w:numId w:val="0"/>
        </w:numPr>
        <w:spacing w:line="360" w:lineRule="auto"/>
        <w:rPr>
          <w:rFonts w:hint="default"/>
          <w:sz w:val="24"/>
          <w:szCs w:val="24"/>
          <w:vertAlign w:val="baseline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3、每日销售大单奖励</w:t>
      </w:r>
      <w:r>
        <w:rPr>
          <w:rFonts w:hint="eastAsia"/>
          <w:sz w:val="24"/>
          <w:szCs w:val="24"/>
          <w:lang w:val="en-US" w:eastAsia="zh-CN"/>
        </w:rPr>
        <w:br w:type="textWrapping"/>
      </w:r>
      <w:r>
        <w:rPr>
          <w:rFonts w:hint="eastAsia"/>
          <w:sz w:val="24"/>
          <w:szCs w:val="24"/>
          <w:lang w:val="en-US" w:eastAsia="zh-CN"/>
        </w:rPr>
        <w:t>活动期间，根据每日销售情况，销售最高人员获得大单奖励，奖金100元</w:t>
      </w:r>
      <w:r>
        <w:rPr>
          <w:rFonts w:hint="eastAsia"/>
          <w:sz w:val="24"/>
          <w:szCs w:val="24"/>
          <w:lang w:val="en-US" w:eastAsia="zh-CN"/>
        </w:rPr>
        <w:br w:type="textWrapping"/>
      </w:r>
      <w:r>
        <w:rPr>
          <w:rFonts w:hint="eastAsia"/>
          <w:sz w:val="24"/>
          <w:szCs w:val="24"/>
          <w:lang w:val="en-US" w:eastAsia="zh-CN"/>
        </w:rPr>
        <w:t>备注：销售≥50盒方可参加大单奖励排名。</w:t>
      </w:r>
      <w:r>
        <w:rPr>
          <w:rFonts w:hint="eastAsia"/>
          <w:sz w:val="24"/>
          <w:szCs w:val="24"/>
          <w:lang w:val="en-US" w:eastAsia="zh-CN"/>
        </w:rPr>
        <w:br w:type="textWrapping"/>
      </w:r>
      <w:r>
        <w:rPr>
          <w:rFonts w:hint="eastAsia"/>
          <w:b/>
          <w:bCs/>
          <w:sz w:val="24"/>
          <w:szCs w:val="24"/>
          <w:lang w:val="en-US" w:eastAsia="zh-CN"/>
        </w:rPr>
        <w:t>4、销售完成率排名奖励</w:t>
      </w:r>
      <w:r>
        <w:rPr>
          <w:rFonts w:hint="eastAsia"/>
          <w:sz w:val="24"/>
          <w:szCs w:val="24"/>
          <w:lang w:val="en-US" w:eastAsia="zh-CN"/>
        </w:rPr>
        <w:br w:type="textWrapping"/>
      </w:r>
      <w:r>
        <w:rPr>
          <w:rFonts w:hint="eastAsia"/>
          <w:sz w:val="24"/>
          <w:szCs w:val="24"/>
          <w:lang w:val="en-US" w:eastAsia="zh-CN"/>
        </w:rPr>
        <w:t>活动结束，根据门店销售情况，完成率排名前十门店获得销售前十奖励</w:t>
      </w:r>
      <w:r>
        <w:rPr>
          <w:rFonts w:hint="eastAsia"/>
          <w:sz w:val="24"/>
          <w:szCs w:val="24"/>
          <w:lang w:val="en-US" w:eastAsia="zh-CN"/>
        </w:rPr>
        <w:br w:type="textWrapping"/>
      </w:r>
      <w:r>
        <w:rPr>
          <w:rFonts w:hint="eastAsia"/>
          <w:sz w:val="24"/>
          <w:szCs w:val="24"/>
          <w:lang w:val="en-US" w:eastAsia="zh-CN"/>
        </w:rPr>
        <w:t>合计奖励金额：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4100元</w:t>
      </w:r>
    </w:p>
    <w:tbl>
      <w:tblPr>
        <w:tblStyle w:val="3"/>
        <w:tblW w:w="857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9"/>
        <w:gridCol w:w="2860"/>
        <w:gridCol w:w="28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2859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排名</w:t>
            </w:r>
          </w:p>
        </w:tc>
        <w:tc>
          <w:tcPr>
            <w:tcW w:w="2860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奖励金额</w:t>
            </w:r>
          </w:p>
        </w:tc>
        <w:tc>
          <w:tcPr>
            <w:tcW w:w="2860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合计奖励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2859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第一名</w:t>
            </w:r>
          </w:p>
        </w:tc>
        <w:tc>
          <w:tcPr>
            <w:tcW w:w="2860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700</w:t>
            </w:r>
          </w:p>
        </w:tc>
        <w:tc>
          <w:tcPr>
            <w:tcW w:w="2860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700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2859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第二名</w:t>
            </w:r>
          </w:p>
        </w:tc>
        <w:tc>
          <w:tcPr>
            <w:tcW w:w="2860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600</w:t>
            </w:r>
          </w:p>
        </w:tc>
        <w:tc>
          <w:tcPr>
            <w:tcW w:w="2860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2859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第三名</w:t>
            </w:r>
          </w:p>
        </w:tc>
        <w:tc>
          <w:tcPr>
            <w:tcW w:w="2860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500</w:t>
            </w:r>
          </w:p>
        </w:tc>
        <w:tc>
          <w:tcPr>
            <w:tcW w:w="2860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2859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第四---五名</w:t>
            </w:r>
          </w:p>
        </w:tc>
        <w:tc>
          <w:tcPr>
            <w:tcW w:w="2860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400</w:t>
            </w:r>
          </w:p>
        </w:tc>
        <w:tc>
          <w:tcPr>
            <w:tcW w:w="2860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800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2859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第六---十名</w:t>
            </w:r>
          </w:p>
        </w:tc>
        <w:tc>
          <w:tcPr>
            <w:tcW w:w="2860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300</w:t>
            </w:r>
          </w:p>
        </w:tc>
        <w:tc>
          <w:tcPr>
            <w:tcW w:w="2860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1500</w:t>
            </w:r>
          </w:p>
        </w:tc>
      </w:tr>
    </w:tbl>
    <w:p>
      <w:pPr>
        <w:numPr>
          <w:ilvl w:val="0"/>
          <w:numId w:val="0"/>
        </w:numPr>
        <w:spacing w:line="360" w:lineRule="auto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5、片区奖励</w:t>
      </w:r>
      <w:r>
        <w:rPr>
          <w:rFonts w:hint="eastAsia"/>
          <w:sz w:val="24"/>
          <w:szCs w:val="24"/>
          <w:lang w:val="en-US" w:eastAsia="zh-CN"/>
        </w:rPr>
        <w:br w:type="textWrapping"/>
      </w:r>
      <w:r>
        <w:rPr>
          <w:rFonts w:hint="eastAsia"/>
          <w:sz w:val="24"/>
          <w:szCs w:val="24"/>
          <w:lang w:val="en-US" w:eastAsia="zh-CN"/>
        </w:rPr>
        <w:t>1、完成率最高片区片长奖励金额：800元（需完成任务才能享受此奖励）</w:t>
      </w:r>
      <w:r>
        <w:rPr>
          <w:rFonts w:hint="eastAsia"/>
          <w:sz w:val="24"/>
          <w:szCs w:val="24"/>
          <w:lang w:val="en-US" w:eastAsia="zh-CN"/>
        </w:rPr>
        <w:br w:type="textWrapping"/>
      </w:r>
      <w:r>
        <w:rPr>
          <w:rFonts w:hint="eastAsia"/>
          <w:sz w:val="24"/>
          <w:szCs w:val="24"/>
          <w:lang w:val="en-US" w:eastAsia="zh-CN"/>
        </w:rPr>
        <w:t>2、完成片区任务加绩效分5分</w:t>
      </w:r>
    </w:p>
    <w:p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七、处罚</w:t>
      </w:r>
      <w:r>
        <w:rPr>
          <w:rFonts w:hint="eastAsia"/>
          <w:b/>
          <w:bCs/>
          <w:sz w:val="24"/>
          <w:szCs w:val="24"/>
          <w:lang w:val="en-US" w:eastAsia="zh-CN"/>
        </w:rPr>
        <w:br w:type="textWrapping"/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按差额2元盒进行处罚，有厂家支援门店处罚封顶100元，无厂家支持门店处罚封顶50元。</w:t>
      </w:r>
    </w:p>
    <w:p>
      <w:pPr>
        <w:spacing w:line="360" w:lineRule="auto"/>
        <w:rPr>
          <w:b/>
          <w:bCs/>
          <w:color w:val="auto"/>
          <w:szCs w:val="21"/>
          <w:u w:val="single"/>
        </w:rPr>
      </w:pPr>
      <w:r>
        <w:rPr>
          <w:rFonts w:hint="eastAsia"/>
          <w:b/>
          <w:bCs/>
          <w:color w:val="auto"/>
          <w:szCs w:val="21"/>
          <w:u w:val="single"/>
        </w:rPr>
        <w:t>主题词：</w:t>
      </w:r>
      <w:r>
        <w:rPr>
          <w:rFonts w:hint="eastAsia"/>
          <w:b/>
          <w:bCs/>
          <w:color w:val="auto"/>
          <w:szCs w:val="21"/>
          <w:u w:val="single"/>
          <w:lang w:val="en-US" w:eastAsia="zh-CN"/>
        </w:rPr>
        <w:t xml:space="preserve">               </w:t>
      </w:r>
      <w:r>
        <w:rPr>
          <w:rFonts w:hint="eastAsia"/>
          <w:b/>
          <w:bCs/>
          <w:color w:val="auto"/>
          <w:sz w:val="18"/>
          <w:szCs w:val="18"/>
          <w:u w:val="single"/>
          <w:lang w:val="en-US" w:eastAsia="zh-CN"/>
        </w:rPr>
        <w:t xml:space="preserve">    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丹参口服液爆破活动</w:t>
      </w:r>
      <w:r>
        <w:rPr>
          <w:rFonts w:hint="eastAsia"/>
          <w:b/>
          <w:bCs/>
          <w:color w:val="auto"/>
          <w:sz w:val="18"/>
          <w:szCs w:val="18"/>
          <w:u w:val="single"/>
          <w:lang w:val="en-US" w:eastAsia="zh-CN"/>
        </w:rPr>
        <w:t xml:space="preserve">      </w:t>
      </w:r>
      <w:r>
        <w:rPr>
          <w:rFonts w:hint="eastAsia"/>
          <w:b/>
          <w:bCs/>
          <w:color w:val="auto"/>
          <w:szCs w:val="21"/>
          <w:u w:val="single"/>
          <w:lang w:val="en-US" w:eastAsia="zh-CN"/>
        </w:rPr>
        <w:t xml:space="preserve">     </w:t>
      </w:r>
      <w:r>
        <w:rPr>
          <w:rFonts w:hint="eastAsia"/>
          <w:b/>
          <w:bCs/>
          <w:color w:val="auto"/>
          <w:szCs w:val="21"/>
          <w:u w:val="single"/>
        </w:rPr>
        <w:t xml:space="preserve">    </w:t>
      </w:r>
      <w:r>
        <w:rPr>
          <w:rFonts w:hint="eastAsia"/>
          <w:b/>
          <w:bCs/>
          <w:color w:val="auto"/>
          <w:szCs w:val="21"/>
          <w:u w:val="single"/>
          <w:lang w:val="en-US" w:eastAsia="zh-CN"/>
        </w:rPr>
        <w:t xml:space="preserve">      </w:t>
      </w:r>
      <w:r>
        <w:rPr>
          <w:rFonts w:hint="eastAsia"/>
          <w:b/>
          <w:bCs/>
          <w:color w:val="auto"/>
          <w:szCs w:val="21"/>
          <w:u w:val="single"/>
        </w:rPr>
        <w:t xml:space="preserve">   </w:t>
      </w:r>
      <w:r>
        <w:rPr>
          <w:rFonts w:hint="eastAsia"/>
          <w:b/>
          <w:bCs/>
          <w:color w:val="auto"/>
          <w:szCs w:val="21"/>
          <w:u w:val="single"/>
          <w:lang w:eastAsia="zh-CN"/>
        </w:rPr>
        <w:t>通知</w:t>
      </w:r>
      <w:r>
        <w:rPr>
          <w:rFonts w:hint="eastAsia"/>
          <w:b/>
          <w:bCs/>
          <w:color w:val="auto"/>
          <w:szCs w:val="21"/>
          <w:u w:val="single"/>
        </w:rPr>
        <w:t>   </w:t>
      </w:r>
    </w:p>
    <w:p>
      <w:pPr>
        <w:spacing w:line="360" w:lineRule="auto"/>
        <w:rPr>
          <w:b/>
          <w:bCs/>
          <w:color w:val="auto"/>
          <w:szCs w:val="21"/>
          <w:u w:val="single"/>
        </w:rPr>
      </w:pPr>
      <w:r>
        <w:rPr>
          <w:rFonts w:hint="eastAsia"/>
          <w:b/>
          <w:bCs/>
          <w:color w:val="auto"/>
          <w:szCs w:val="21"/>
          <w:u w:val="single"/>
        </w:rPr>
        <w:t xml:space="preserve">四川太极大药房连锁有限公司                                      </w:t>
      </w:r>
      <w:r>
        <w:rPr>
          <w:rFonts w:hint="eastAsia"/>
          <w:b/>
          <w:bCs/>
          <w:color w:val="auto"/>
          <w:szCs w:val="21"/>
          <w:u w:val="single"/>
          <w:lang w:val="en-US" w:eastAsia="zh-CN"/>
        </w:rPr>
        <w:t xml:space="preserve">   </w:t>
      </w:r>
      <w:r>
        <w:rPr>
          <w:rFonts w:hint="eastAsia"/>
          <w:b/>
          <w:bCs/>
          <w:color w:val="auto"/>
          <w:szCs w:val="21"/>
          <w:u w:val="single"/>
        </w:rPr>
        <w:t xml:space="preserve">     20</w:t>
      </w:r>
      <w:r>
        <w:rPr>
          <w:rFonts w:hint="eastAsia"/>
          <w:b/>
          <w:bCs/>
          <w:color w:val="auto"/>
          <w:szCs w:val="21"/>
          <w:u w:val="single"/>
          <w:lang w:val="en-US" w:eastAsia="zh-CN"/>
        </w:rPr>
        <w:t>20</w:t>
      </w:r>
      <w:r>
        <w:rPr>
          <w:rFonts w:hint="eastAsia"/>
          <w:b/>
          <w:bCs/>
          <w:color w:val="auto"/>
          <w:szCs w:val="21"/>
          <w:u w:val="single"/>
        </w:rPr>
        <w:t>年</w:t>
      </w:r>
      <w:r>
        <w:rPr>
          <w:rFonts w:hint="eastAsia"/>
          <w:b/>
          <w:bCs/>
          <w:color w:val="auto"/>
          <w:szCs w:val="21"/>
          <w:u w:val="single"/>
          <w:lang w:val="en-US" w:eastAsia="zh-CN"/>
        </w:rPr>
        <w:t>9</w:t>
      </w:r>
      <w:r>
        <w:rPr>
          <w:rFonts w:hint="eastAsia"/>
          <w:b/>
          <w:bCs/>
          <w:color w:val="auto"/>
          <w:szCs w:val="21"/>
          <w:u w:val="single"/>
        </w:rPr>
        <w:t>月</w:t>
      </w:r>
      <w:r>
        <w:rPr>
          <w:rFonts w:hint="eastAsia"/>
          <w:b/>
          <w:bCs/>
          <w:color w:val="auto"/>
          <w:szCs w:val="21"/>
          <w:u w:val="single"/>
          <w:lang w:val="en-US" w:eastAsia="zh-CN"/>
        </w:rPr>
        <w:t>17</w:t>
      </w:r>
      <w:r>
        <w:rPr>
          <w:rFonts w:hint="eastAsia"/>
          <w:b/>
          <w:bCs/>
          <w:color w:val="auto"/>
          <w:szCs w:val="21"/>
          <w:u w:val="single"/>
        </w:rPr>
        <w:t>日印发  </w:t>
      </w:r>
    </w:p>
    <w:p>
      <w:pPr>
        <w:spacing w:line="360" w:lineRule="auto"/>
        <w:rPr>
          <w:b/>
          <w:bCs/>
          <w:color w:val="auto"/>
          <w:szCs w:val="21"/>
          <w:u w:val="none"/>
        </w:rPr>
      </w:pPr>
      <w:r>
        <w:rPr>
          <w:rFonts w:hint="eastAsia"/>
          <w:b/>
          <w:bCs/>
          <w:color w:val="auto"/>
          <w:szCs w:val="21"/>
          <w:u w:val="none"/>
        </w:rPr>
        <w:t>打印：</w:t>
      </w:r>
      <w:r>
        <w:rPr>
          <w:rFonts w:hint="eastAsia"/>
          <w:b/>
          <w:bCs/>
          <w:color w:val="auto"/>
          <w:szCs w:val="21"/>
          <w:u w:val="none"/>
          <w:lang w:eastAsia="zh-CN"/>
        </w:rPr>
        <w:t>刘美玲</w:t>
      </w:r>
      <w:r>
        <w:rPr>
          <w:rFonts w:hint="eastAsia"/>
          <w:b/>
          <w:bCs/>
          <w:color w:val="auto"/>
          <w:szCs w:val="21"/>
          <w:u w:val="none"/>
        </w:rPr>
        <w:t xml:space="preserve">        核对：谭莉杨                                        </w:t>
      </w:r>
      <w:r>
        <w:rPr>
          <w:rFonts w:hint="eastAsia"/>
          <w:b/>
          <w:bCs/>
          <w:color w:val="auto"/>
          <w:szCs w:val="21"/>
          <w:u w:val="none"/>
          <w:lang w:val="en-US" w:eastAsia="zh-CN"/>
        </w:rPr>
        <w:t xml:space="preserve"> </w:t>
      </w:r>
      <w:r>
        <w:rPr>
          <w:rFonts w:hint="eastAsia"/>
          <w:b/>
          <w:bCs/>
          <w:color w:val="auto"/>
          <w:szCs w:val="21"/>
          <w:u w:val="none"/>
        </w:rPr>
        <w:t xml:space="preserve"> </w:t>
      </w:r>
      <w:r>
        <w:rPr>
          <w:rFonts w:hint="eastAsia"/>
          <w:b/>
          <w:bCs/>
          <w:color w:val="auto"/>
          <w:szCs w:val="21"/>
          <w:u w:val="none"/>
          <w:lang w:val="en-US" w:eastAsia="zh-CN"/>
        </w:rPr>
        <w:t xml:space="preserve">   </w:t>
      </w:r>
      <w:r>
        <w:rPr>
          <w:rFonts w:hint="eastAsia"/>
          <w:b/>
          <w:bCs/>
          <w:color w:val="auto"/>
          <w:szCs w:val="21"/>
          <w:u w:val="none"/>
        </w:rPr>
        <w:t xml:space="preserve">    </w:t>
      </w:r>
      <w:r>
        <w:rPr>
          <w:rFonts w:hint="eastAsia"/>
          <w:b/>
          <w:bCs/>
          <w:color w:val="auto"/>
          <w:szCs w:val="21"/>
          <w:u w:val="none"/>
          <w:lang w:val="en-US" w:eastAsia="zh-CN"/>
        </w:rPr>
        <w:t xml:space="preserve">   </w:t>
      </w:r>
      <w:r>
        <w:rPr>
          <w:rFonts w:hint="eastAsia"/>
          <w:b/>
          <w:bCs/>
          <w:color w:val="auto"/>
          <w:szCs w:val="21"/>
          <w:u w:val="none"/>
        </w:rPr>
        <w:t xml:space="preserve">（共印1份） </w:t>
      </w:r>
    </w:p>
    <w:p>
      <w:pPr>
        <w:numPr>
          <w:ilvl w:val="0"/>
          <w:numId w:val="0"/>
        </w:numPr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备注：爆炸卡内容如下：</w:t>
      </w:r>
      <w:r>
        <w:rPr>
          <w:rFonts w:hint="eastAsia"/>
          <w:sz w:val="24"/>
          <w:szCs w:val="24"/>
          <w:lang w:val="en-US" w:eastAsia="zh-CN"/>
        </w:rPr>
        <w:br w:type="textWrapping"/>
      </w:r>
      <w:r>
        <w:drawing>
          <wp:inline distT="0" distB="0" distL="114300" distR="114300">
            <wp:extent cx="5268595" cy="3131185"/>
            <wp:effectExtent l="0" t="0" r="8255" b="1206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5273040" cy="3555365"/>
            <wp:effectExtent l="0" t="0" r="3810" b="698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67509C"/>
    <w:rsid w:val="035D29F7"/>
    <w:rsid w:val="03961470"/>
    <w:rsid w:val="04BE77E2"/>
    <w:rsid w:val="04C87349"/>
    <w:rsid w:val="059703A9"/>
    <w:rsid w:val="07F074A5"/>
    <w:rsid w:val="0A317BB3"/>
    <w:rsid w:val="0A613FE1"/>
    <w:rsid w:val="0AAF059F"/>
    <w:rsid w:val="0BEF204D"/>
    <w:rsid w:val="0C2126A6"/>
    <w:rsid w:val="0E3A514B"/>
    <w:rsid w:val="12FB7969"/>
    <w:rsid w:val="131E6A40"/>
    <w:rsid w:val="16796F2B"/>
    <w:rsid w:val="1B105858"/>
    <w:rsid w:val="1D2F1A98"/>
    <w:rsid w:val="1FC15755"/>
    <w:rsid w:val="2139283B"/>
    <w:rsid w:val="28A179B6"/>
    <w:rsid w:val="2ABA0A5D"/>
    <w:rsid w:val="2CF2401A"/>
    <w:rsid w:val="2DC83251"/>
    <w:rsid w:val="33847C98"/>
    <w:rsid w:val="351C7234"/>
    <w:rsid w:val="372A12C7"/>
    <w:rsid w:val="3A4B323A"/>
    <w:rsid w:val="3AC03EAD"/>
    <w:rsid w:val="3E3452D5"/>
    <w:rsid w:val="3F2905CC"/>
    <w:rsid w:val="42010BA3"/>
    <w:rsid w:val="425E32E0"/>
    <w:rsid w:val="437C5D55"/>
    <w:rsid w:val="43A55613"/>
    <w:rsid w:val="43B77969"/>
    <w:rsid w:val="46D34CD1"/>
    <w:rsid w:val="475E3019"/>
    <w:rsid w:val="482B261E"/>
    <w:rsid w:val="48524FE7"/>
    <w:rsid w:val="4A595C41"/>
    <w:rsid w:val="4BB722DC"/>
    <w:rsid w:val="4C7844CB"/>
    <w:rsid w:val="4E7F459F"/>
    <w:rsid w:val="4EE2594E"/>
    <w:rsid w:val="51607578"/>
    <w:rsid w:val="5D37139C"/>
    <w:rsid w:val="5DB25AEC"/>
    <w:rsid w:val="5E9E3904"/>
    <w:rsid w:val="5FFC076B"/>
    <w:rsid w:val="60FB415C"/>
    <w:rsid w:val="625769B3"/>
    <w:rsid w:val="678D7601"/>
    <w:rsid w:val="67CD7778"/>
    <w:rsid w:val="6AE02F69"/>
    <w:rsid w:val="6AEA3653"/>
    <w:rsid w:val="6CEF55AD"/>
    <w:rsid w:val="6E210F35"/>
    <w:rsid w:val="6EDD27FB"/>
    <w:rsid w:val="6F494CA7"/>
    <w:rsid w:val="6F5163E6"/>
    <w:rsid w:val="72684590"/>
    <w:rsid w:val="77F67F51"/>
    <w:rsid w:val="78F15497"/>
    <w:rsid w:val="7EA11D7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玲小妹</cp:lastModifiedBy>
  <cp:lastPrinted>2020-09-17T02:08:00Z</cp:lastPrinted>
  <dcterms:modified xsi:type="dcterms:W3CDTF">2020-09-18T01:18:08Z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