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先声制药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7月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</w:t>
      </w:r>
      <w:r>
        <w:rPr>
          <w:rFonts w:hint="eastAsia"/>
          <w:sz w:val="28"/>
          <w:szCs w:val="28"/>
          <w:lang w:val="en-US" w:eastAsia="zh-CN"/>
        </w:rPr>
        <w:t>系列</w:t>
      </w:r>
      <w:r>
        <w:rPr>
          <w:rFonts w:hint="eastAsia"/>
          <w:sz w:val="28"/>
          <w:szCs w:val="28"/>
          <w:lang w:eastAsia="zh-CN"/>
        </w:rPr>
        <w:t>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73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385"/>
        <w:gridCol w:w="1905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货号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131175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10mgx7片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买4得5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172829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190519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2.5mgx21片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3gx15袋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健脾八珍糕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8.3gx24块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免费试吃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192184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蒙脱石分散片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1.0gx18片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110795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咳喘宁口服液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10mlx8支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阿莫西林颗粒(再林)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125mgx18袋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阿莫西林克拉维酸钾颗粒(安奇颗粒)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0.15625gx9袋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110802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0.25g:0.0625gx12片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0.125gx12袋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165878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50mgx30粒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88771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阿法骨化醇软胶囊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0.25ugx30粒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135106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阿法骨化醇软胶囊(法能)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0.5μgx20粒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双氯芬酸钠凝胶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15g:0.15gx2支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：2020年7月1日-2020年7月31日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三、考核及奖励方式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：1.活动内容系统自动；</w:t>
      </w:r>
    </w:p>
    <w:p>
      <w:pPr>
        <w:numPr>
          <w:ilvl w:val="0"/>
          <w:numId w:val="0"/>
        </w:numPr>
        <w:ind w:leftChars="100" w:firstLine="2800" w:firstLineChars="10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color w:val="FF0000"/>
          <w:sz w:val="28"/>
          <w:szCs w:val="28"/>
          <w:highlight w:val="yellow"/>
          <w:lang w:val="en-US" w:eastAsia="zh-CN"/>
        </w:rPr>
        <w:t>门店完成任务后参与追加奖励，奖励标准：按零售价3%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，待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活动结束后由营运部统一造发。（</w:t>
      </w:r>
      <w:r>
        <w:rPr>
          <w:rFonts w:hint="eastAsia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注：原奖励不变，门店任务详见附件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 w:right="-313" w:rightChars="-149" w:firstLine="281" w:firstLineChars="100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四、注意事项：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先声制药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7月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B24536"/>
    <w:rsid w:val="3DB87ACB"/>
    <w:rsid w:val="40554C66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DF532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20</TotalTime>
  <ScaleCrop>false</ScaleCrop>
  <LinksUpToDate>false</LinksUpToDate>
  <CharactersWithSpaces>886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2019-03-28T11:13:00Z</cp:lastPrinted>
  <dcterms:modified xsi:type="dcterms:W3CDTF">2020-07-01T10:12:21Z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