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bidi w:val="0"/>
        <w:spacing w:line="360" w:lineRule="auto"/>
        <w:jc w:val="center"/>
        <w:textAlignment w:val="auto"/>
        <w:rPr>
          <w:rFonts w:hint="eastAsia"/>
          <w:sz w:val="44"/>
          <w:szCs w:val="44"/>
          <w:lang w:eastAsia="zh-CN"/>
        </w:rPr>
      </w:pPr>
      <w:r>
        <w:rPr>
          <w:rFonts w:hint="eastAsia"/>
          <w:sz w:val="44"/>
          <w:szCs w:val="44"/>
          <w:lang w:eastAsia="zh-CN"/>
        </w:rPr>
        <w:t>四川太极大药房连锁有限公司</w:t>
      </w:r>
    </w:p>
    <w:p>
      <w:pPr>
        <w:keepNext w:val="0"/>
        <w:keepLines w:val="0"/>
        <w:pageBreakBefore w:val="0"/>
        <w:wordWrap/>
        <w:topLinePunct w:val="0"/>
        <w:bidi w:val="0"/>
        <w:spacing w:line="360" w:lineRule="auto"/>
        <w:jc w:val="center"/>
        <w:textAlignment w:val="auto"/>
        <w:rPr>
          <w:rFonts w:hint="eastAsia"/>
          <w:sz w:val="44"/>
          <w:szCs w:val="44"/>
        </w:rPr>
      </w:pPr>
      <w:r>
        <w:rPr>
          <w:rFonts w:hint="eastAsia"/>
          <w:sz w:val="44"/>
          <w:szCs w:val="44"/>
          <w:lang w:eastAsia="zh-CN"/>
        </w:rPr>
        <w:t>关于加强五一期间质量安全管理的</w:t>
      </w:r>
      <w:r>
        <w:rPr>
          <w:rFonts w:hint="eastAsia"/>
          <w:sz w:val="44"/>
          <w:szCs w:val="44"/>
        </w:rPr>
        <w:t>通知</w:t>
      </w:r>
    </w:p>
    <w:p>
      <w:pPr>
        <w:keepNext w:val="0"/>
        <w:keepLines w:val="0"/>
        <w:pageBreakBefore w:val="0"/>
        <w:wordWrap/>
        <w:topLinePunct w:val="0"/>
        <w:bidi w:val="0"/>
        <w:spacing w:line="360" w:lineRule="auto"/>
        <w:textAlignment w:val="auto"/>
        <w:rPr>
          <w:rFonts w:hint="eastAsia" w:ascii="宋体" w:hAnsi="宋体" w:eastAsia="宋体" w:cs="宋体"/>
          <w:sz w:val="28"/>
          <w:szCs w:val="28"/>
        </w:rPr>
      </w:pPr>
    </w:p>
    <w:p>
      <w:pPr>
        <w:keepNext w:val="0"/>
        <w:keepLines w:val="0"/>
        <w:pageBreakBefore w:val="0"/>
        <w:wordWrap/>
        <w:topLinePunct w:val="0"/>
        <w:bidi w:val="0"/>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各</w:t>
      </w:r>
      <w:r>
        <w:rPr>
          <w:rFonts w:hint="eastAsia" w:ascii="宋体" w:hAnsi="宋体" w:eastAsia="宋体" w:cs="宋体"/>
          <w:sz w:val="28"/>
          <w:szCs w:val="28"/>
          <w:highlight w:val="none"/>
          <w:lang w:eastAsia="zh-CN"/>
        </w:rPr>
        <w:t>直营门店、各加盟药店</w:t>
      </w:r>
      <w:r>
        <w:rPr>
          <w:rFonts w:hint="eastAsia" w:ascii="宋体" w:hAnsi="宋体" w:eastAsia="宋体" w:cs="宋体"/>
          <w:sz w:val="28"/>
          <w:szCs w:val="28"/>
          <w:highlight w:val="none"/>
        </w:rPr>
        <w:t>：</w:t>
      </w:r>
    </w:p>
    <w:p>
      <w:pPr>
        <w:keepNext w:val="0"/>
        <w:keepLines w:val="0"/>
        <w:pageBreakBefore w:val="0"/>
        <w:widowControl w:val="0"/>
        <w:wordWrap/>
        <w:topLinePunct w:val="0"/>
        <w:bidi w:val="0"/>
        <w:spacing w:line="360" w:lineRule="auto"/>
        <w:ind w:firstLine="64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五一小长假将至，节前各级药监部门将对各零售药店进行全面检查。</w:t>
      </w:r>
      <w:r>
        <w:rPr>
          <w:rFonts w:hint="eastAsia" w:ascii="宋体" w:hAnsi="宋体" w:eastAsia="宋体" w:cs="宋体"/>
          <w:color w:val="000000"/>
          <w:kern w:val="0"/>
          <w:sz w:val="28"/>
          <w:szCs w:val="28"/>
          <w:highlight w:val="none"/>
        </w:rPr>
        <w:t>为切实保障</w:t>
      </w:r>
      <w:r>
        <w:rPr>
          <w:rFonts w:hint="eastAsia" w:ascii="宋体" w:hAnsi="宋体" w:eastAsia="宋体" w:cs="宋体"/>
          <w:color w:val="000000"/>
          <w:kern w:val="0"/>
          <w:sz w:val="28"/>
          <w:szCs w:val="28"/>
          <w:highlight w:val="none"/>
          <w:lang w:eastAsia="zh-CN"/>
        </w:rPr>
        <w:t>节日</w:t>
      </w:r>
      <w:r>
        <w:rPr>
          <w:rFonts w:hint="eastAsia" w:ascii="宋体" w:hAnsi="宋体" w:eastAsia="宋体" w:cs="宋体"/>
          <w:color w:val="000000"/>
          <w:kern w:val="0"/>
          <w:sz w:val="28"/>
          <w:szCs w:val="28"/>
          <w:highlight w:val="none"/>
        </w:rPr>
        <w:t>期间商品质量安全，</w:t>
      </w:r>
      <w:r>
        <w:rPr>
          <w:rFonts w:hint="eastAsia" w:ascii="宋体" w:hAnsi="宋体" w:eastAsia="宋体" w:cs="宋体"/>
          <w:sz w:val="28"/>
          <w:szCs w:val="28"/>
          <w:highlight w:val="none"/>
          <w:lang w:eastAsia="zh-CN"/>
        </w:rPr>
        <w:t>请</w:t>
      </w:r>
      <w:r>
        <w:rPr>
          <w:rFonts w:hint="eastAsia" w:ascii="宋体" w:hAnsi="宋体" w:eastAsia="宋体" w:cs="宋体"/>
          <w:sz w:val="28"/>
          <w:szCs w:val="28"/>
          <w:highlight w:val="none"/>
        </w:rPr>
        <w:t>各</w:t>
      </w:r>
      <w:r>
        <w:rPr>
          <w:rFonts w:hint="eastAsia" w:ascii="宋体" w:hAnsi="宋体" w:eastAsia="宋体" w:cs="宋体"/>
          <w:sz w:val="28"/>
          <w:szCs w:val="28"/>
          <w:highlight w:val="none"/>
          <w:lang w:eastAsia="zh-CN"/>
        </w:rPr>
        <w:t>直营门店、各加盟药店</w:t>
      </w:r>
      <w:r>
        <w:rPr>
          <w:rFonts w:hint="eastAsia" w:ascii="宋体" w:hAnsi="宋体" w:eastAsia="宋体" w:cs="宋体"/>
          <w:color w:val="000000"/>
          <w:kern w:val="0"/>
          <w:sz w:val="28"/>
          <w:szCs w:val="28"/>
          <w:highlight w:val="none"/>
        </w:rPr>
        <w:t>加强药品、化妆品、</w:t>
      </w:r>
      <w:r>
        <w:rPr>
          <w:rFonts w:hint="eastAsia" w:ascii="宋体" w:hAnsi="宋体" w:eastAsia="宋体" w:cs="宋体"/>
          <w:color w:val="000000"/>
          <w:kern w:val="0"/>
          <w:sz w:val="28"/>
          <w:szCs w:val="28"/>
          <w:highlight w:val="none"/>
          <w:lang w:eastAsia="zh-CN"/>
        </w:rPr>
        <w:t>消毒产品、</w:t>
      </w:r>
      <w:r>
        <w:rPr>
          <w:rFonts w:hint="eastAsia" w:ascii="宋体" w:hAnsi="宋体" w:eastAsia="宋体" w:cs="宋体"/>
          <w:color w:val="000000"/>
          <w:kern w:val="0"/>
          <w:sz w:val="28"/>
          <w:szCs w:val="28"/>
          <w:highlight w:val="none"/>
        </w:rPr>
        <w:t>医疗器械等商品质量管理，</w:t>
      </w:r>
      <w:r>
        <w:rPr>
          <w:rFonts w:hint="eastAsia" w:ascii="宋体" w:hAnsi="宋体" w:eastAsia="宋体" w:cs="宋体"/>
          <w:sz w:val="28"/>
          <w:szCs w:val="28"/>
          <w:highlight w:val="none"/>
        </w:rPr>
        <w:t>做好</w:t>
      </w:r>
      <w:r>
        <w:rPr>
          <w:rFonts w:hint="eastAsia" w:ascii="宋体" w:hAnsi="宋体" w:eastAsia="宋体" w:cs="宋体"/>
          <w:sz w:val="28"/>
          <w:szCs w:val="28"/>
          <w:highlight w:val="none"/>
          <w:lang w:eastAsia="zh-CN"/>
        </w:rPr>
        <w:t>各项</w:t>
      </w:r>
      <w:r>
        <w:rPr>
          <w:rFonts w:hint="eastAsia" w:ascii="宋体" w:hAnsi="宋体" w:eastAsia="宋体" w:cs="宋体"/>
          <w:sz w:val="28"/>
          <w:szCs w:val="28"/>
          <w:highlight w:val="none"/>
        </w:rPr>
        <w:t>质量安全工作，杜绝质量安全事故发生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现将有关事项通知如下：</w:t>
      </w:r>
      <w:r>
        <w:rPr>
          <w:rFonts w:hint="eastAsia" w:ascii="宋体" w:hAnsi="宋体" w:eastAsia="宋体" w:cs="宋体"/>
          <w:color w:val="000000"/>
          <w:kern w:val="0"/>
          <w:sz w:val="28"/>
          <w:szCs w:val="28"/>
          <w:highlight w:val="none"/>
        </w:rPr>
        <w:t xml:space="preserve"> </w:t>
      </w:r>
    </w:p>
    <w:p>
      <w:pPr>
        <w:keepNext w:val="0"/>
        <w:keepLines w:val="0"/>
        <w:pageBreakBefore w:val="0"/>
        <w:widowControl w:val="0"/>
        <w:numPr>
          <w:numId w:val="0"/>
        </w:numPr>
        <w:kinsoku w:val="0"/>
        <w:wordWrap/>
        <w:overflowPunct w:val="0"/>
        <w:topLinePunct w:val="0"/>
        <w:autoSpaceDE w:val="0"/>
        <w:autoSpaceDN w:val="0"/>
        <w:bidi w:val="0"/>
        <w:adjustRightInd w:val="0"/>
        <w:snapToGrid w:val="0"/>
        <w:spacing w:beforeAutospacing="0" w:afterAutospacing="0" w:line="360" w:lineRule="auto"/>
        <w:ind w:right="0" w:rightChars="0" w:firstLine="560" w:firstLineChars="200"/>
        <w:textAlignment w:val="auto"/>
        <w:rPr>
          <w:rFonts w:hint="eastAsia"/>
          <w:sz w:val="28"/>
          <w:szCs w:val="28"/>
          <w:highlight w:val="none"/>
        </w:rPr>
      </w:pPr>
      <w:r>
        <w:rPr>
          <w:rFonts w:hint="eastAsia" w:ascii="宋体" w:hAnsi="宋体" w:eastAsia="宋体" w:cs="宋体"/>
          <w:b w:val="0"/>
          <w:bCs w:val="0"/>
          <w:sz w:val="28"/>
          <w:szCs w:val="28"/>
          <w:highlight w:val="none"/>
          <w:lang w:val="en-US" w:eastAsia="zh-CN"/>
        </w:rPr>
        <w:t>1、</w:t>
      </w:r>
      <w:r>
        <w:rPr>
          <w:rFonts w:hint="eastAsia" w:ascii="宋体" w:hAnsi="宋体" w:eastAsia="宋体" w:cs="宋体"/>
          <w:b w:val="0"/>
          <w:bCs w:val="0"/>
          <w:sz w:val="28"/>
          <w:szCs w:val="28"/>
          <w:highlight w:val="none"/>
          <w:lang w:eastAsia="zh-CN"/>
        </w:rPr>
        <w:t>禁止在</w:t>
      </w:r>
      <w:r>
        <w:rPr>
          <w:rFonts w:hint="eastAsia"/>
          <w:sz w:val="28"/>
          <w:szCs w:val="28"/>
          <w:highlight w:val="none"/>
          <w:lang w:eastAsia="zh-CN"/>
        </w:rPr>
        <w:t>网络平台销售处方药。门</w:t>
      </w:r>
      <w:r>
        <w:rPr>
          <w:rFonts w:hint="eastAsia" w:asciiTheme="minorEastAsia" w:hAnsiTheme="minorEastAsia" w:cstheme="minorEastAsia"/>
          <w:sz w:val="28"/>
          <w:szCs w:val="28"/>
          <w:highlight w:val="none"/>
          <w:lang w:val="en-US" w:eastAsia="zh-CN"/>
        </w:rPr>
        <w:t>店</w:t>
      </w:r>
      <w:r>
        <w:rPr>
          <w:rFonts w:hint="eastAsia" w:asciiTheme="minorEastAsia" w:hAnsiTheme="minorEastAsia" w:eastAsiaTheme="minorEastAsia" w:cstheme="minorEastAsia"/>
          <w:sz w:val="28"/>
          <w:szCs w:val="28"/>
          <w:highlight w:val="none"/>
        </w:rPr>
        <w:t>严</w:t>
      </w:r>
      <w:r>
        <w:rPr>
          <w:rFonts w:hint="eastAsia"/>
          <w:sz w:val="28"/>
          <w:szCs w:val="28"/>
          <w:highlight w:val="none"/>
        </w:rPr>
        <w:t>格执行处方药凭处方销售</w:t>
      </w:r>
      <w:r>
        <w:rPr>
          <w:rFonts w:hint="eastAsia"/>
          <w:sz w:val="28"/>
          <w:szCs w:val="28"/>
          <w:highlight w:val="none"/>
          <w:lang w:eastAsia="zh-CN"/>
        </w:rPr>
        <w:t>，</w:t>
      </w:r>
      <w:r>
        <w:rPr>
          <w:rFonts w:hint="eastAsia"/>
          <w:sz w:val="28"/>
          <w:szCs w:val="28"/>
          <w:highlight w:val="none"/>
          <w:lang w:val="en-US" w:eastAsia="zh-CN"/>
        </w:rPr>
        <w:t>将系统中的未审核处方及时的</w:t>
      </w:r>
      <w:bookmarkStart w:id="0" w:name="_GoBack"/>
      <w:bookmarkEnd w:id="0"/>
      <w:r>
        <w:rPr>
          <w:rFonts w:hint="eastAsia"/>
          <w:sz w:val="28"/>
          <w:szCs w:val="28"/>
          <w:highlight w:val="none"/>
          <w:lang w:val="en-US" w:eastAsia="zh-CN"/>
        </w:rPr>
        <w:t>重新提交执业药师审核</w:t>
      </w:r>
      <w:r>
        <w:rPr>
          <w:rFonts w:hint="eastAsia"/>
          <w:sz w:val="28"/>
          <w:szCs w:val="28"/>
          <w:highlight w:val="none"/>
        </w:rPr>
        <w:t>。</w:t>
      </w:r>
    </w:p>
    <w:p>
      <w:pPr>
        <w:keepNext w:val="0"/>
        <w:keepLines w:val="0"/>
        <w:pageBreakBefore w:val="0"/>
        <w:widowControl w:val="0"/>
        <w:numPr>
          <w:numId w:val="0"/>
        </w:numPr>
        <w:kinsoku w:val="0"/>
        <w:wordWrap/>
        <w:overflowPunct w:val="0"/>
        <w:topLinePunct w:val="0"/>
        <w:autoSpaceDE w:val="0"/>
        <w:autoSpaceDN w:val="0"/>
        <w:bidi w:val="0"/>
        <w:adjustRightInd w:val="0"/>
        <w:snapToGrid w:val="0"/>
        <w:spacing w:beforeAutospacing="0" w:afterAutospacing="0" w:line="360" w:lineRule="auto"/>
        <w:ind w:right="0" w:rightChars="0" w:firstLine="560" w:firstLineChars="200"/>
        <w:textAlignment w:val="auto"/>
        <w:rPr>
          <w:rFonts w:hint="eastAsia"/>
          <w:sz w:val="28"/>
          <w:szCs w:val="28"/>
          <w:highlight w:val="none"/>
          <w:lang w:val="en-US" w:eastAsia="zh-CN"/>
        </w:rPr>
      </w:pPr>
      <w:r>
        <w:rPr>
          <w:rFonts w:hint="eastAsia" w:ascii="宋体" w:hAnsi="宋体" w:eastAsia="宋体" w:cs="宋体"/>
          <w:color w:val="000000"/>
          <w:sz w:val="28"/>
          <w:szCs w:val="28"/>
          <w:highlight w:val="none"/>
          <w:lang w:val="en-US" w:eastAsia="zh-CN"/>
        </w:rPr>
        <w:t>2、</w:t>
      </w:r>
      <w:r>
        <w:rPr>
          <w:rFonts w:hint="eastAsia" w:ascii="宋体" w:hAnsi="宋体" w:eastAsia="宋体" w:cs="宋体"/>
          <w:color w:val="000000"/>
          <w:sz w:val="28"/>
          <w:szCs w:val="28"/>
          <w:highlight w:val="none"/>
          <w:lang w:eastAsia="zh-CN"/>
        </w:rPr>
        <w:t>严格按照</w:t>
      </w:r>
      <w:r>
        <w:rPr>
          <w:rFonts w:hint="eastAsia" w:asciiTheme="minorEastAsia" w:hAnsiTheme="minorEastAsia" w:cstheme="minorEastAsia"/>
          <w:sz w:val="28"/>
          <w:szCs w:val="28"/>
          <w:lang w:val="en-US" w:eastAsia="zh-CN"/>
        </w:rPr>
        <w:t>成市监办【2020】66号文件的要求，销售“退热”药品。所有“退热”、含麻制剂药品销售必须凭身份证进行</w:t>
      </w:r>
      <w:r>
        <w:rPr>
          <w:rFonts w:hint="eastAsia"/>
          <w:sz w:val="28"/>
          <w:szCs w:val="28"/>
          <w:highlight w:val="none"/>
          <w:lang w:val="en-US" w:eastAsia="zh-CN"/>
        </w:rPr>
        <w:t>电子扫码登记，且含麻制剂单次购买不得超过2个最小包装。</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w:t>
      </w:r>
      <w:r>
        <w:rPr>
          <w:rFonts w:hint="eastAsia"/>
          <w:sz w:val="28"/>
          <w:szCs w:val="28"/>
          <w:highlight w:val="none"/>
          <w:lang w:val="en-US" w:eastAsia="zh-CN"/>
        </w:rPr>
        <w:t>切实规范网上销售退烧药品实名登记，网络平台销售退烧药只能通过“网订店取”的形式售卖，网购退烧药的顾客完成网上交易后，由本人到门店取货，取药时门店需测量其体温并完成退烧药实名登记平台的扫码（与含麻制剂实名登记为同一二维码）方可完成销售。</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360" w:lineRule="auto"/>
        <w:ind w:right="0" w:rightChars="0" w:firstLine="560" w:firstLineChars="200"/>
        <w:textAlignment w:val="auto"/>
        <w:rPr>
          <w:rFonts w:hint="eastAsia" w:ascii="宋体" w:hAnsi="宋体" w:eastAsia="宋体" w:cs="宋体"/>
          <w:color w:val="000000"/>
          <w:sz w:val="28"/>
          <w:szCs w:val="28"/>
          <w:highlight w:val="none"/>
        </w:rPr>
      </w:pPr>
      <w:r>
        <w:rPr>
          <w:rFonts w:hint="eastAsia" w:asciiTheme="minorEastAsia" w:hAnsiTheme="minorEastAsia" w:cstheme="minorEastAsia"/>
          <w:sz w:val="28"/>
          <w:szCs w:val="28"/>
          <w:lang w:val="en-US" w:eastAsia="zh-CN"/>
        </w:rPr>
        <w:t>4、</w:t>
      </w:r>
      <w:r>
        <w:rPr>
          <w:rFonts w:hint="eastAsia" w:ascii="宋体" w:hAnsi="宋体"/>
          <w:sz w:val="28"/>
          <w:szCs w:val="28"/>
          <w:highlight w:val="none"/>
          <w:lang w:val="en-US" w:eastAsia="zh-CN"/>
        </w:rPr>
        <w:t>销售商品必须开具销售小票，</w:t>
      </w:r>
      <w:r>
        <w:rPr>
          <w:rFonts w:hint="eastAsia" w:asciiTheme="minorEastAsia" w:hAnsiTheme="minorEastAsia" w:cstheme="minorEastAsia"/>
          <w:sz w:val="28"/>
          <w:szCs w:val="28"/>
          <w:lang w:val="en-US" w:eastAsia="zh-CN"/>
        </w:rPr>
        <w:t>同时</w:t>
      </w:r>
      <w:r>
        <w:rPr>
          <w:rFonts w:hint="eastAsia" w:ascii="宋体" w:hAnsi="宋体" w:eastAsia="宋体" w:cs="宋体"/>
          <w:color w:val="000000"/>
          <w:sz w:val="28"/>
          <w:szCs w:val="28"/>
          <w:highlight w:val="none"/>
          <w:lang w:eastAsia="zh-CN"/>
        </w:rPr>
        <w:t>要</w:t>
      </w:r>
      <w:r>
        <w:rPr>
          <w:rFonts w:hint="eastAsia" w:ascii="宋体" w:hAnsi="宋体" w:eastAsia="宋体" w:cs="宋体"/>
          <w:color w:val="000000"/>
          <w:sz w:val="28"/>
          <w:szCs w:val="28"/>
          <w:highlight w:val="none"/>
        </w:rPr>
        <w:t>认真核对品名、批号、厂家等基本信息</w:t>
      </w:r>
      <w:r>
        <w:rPr>
          <w:rFonts w:hint="eastAsia" w:ascii="宋体" w:hAnsi="宋体" w:eastAsia="宋体" w:cs="宋体"/>
          <w:color w:val="000000"/>
          <w:sz w:val="28"/>
          <w:szCs w:val="28"/>
          <w:highlight w:val="none"/>
          <w:lang w:eastAsia="zh-CN"/>
        </w:rPr>
        <w:t>，确保票、货一致。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firstLineChars="200"/>
        <w:textAlignment w:val="auto"/>
        <w:rPr>
          <w:rFonts w:hint="eastAsia" w:ascii="宋体" w:hAnsi="宋体" w:eastAsia="宋体" w:cs="宋体"/>
          <w:b w:val="0"/>
          <w:bCs w:val="0"/>
          <w:i w:val="0"/>
          <w:color w:val="000000"/>
          <w:kern w:val="0"/>
          <w:sz w:val="28"/>
          <w:szCs w:val="28"/>
          <w:highlight w:val="none"/>
          <w:u w:val="none"/>
          <w:lang w:val="en-US" w:eastAsia="zh-CN" w:bidi="ar"/>
        </w:rPr>
      </w:pPr>
      <w:r>
        <w:rPr>
          <w:rFonts w:hint="eastAsia" w:ascii="宋体" w:hAnsi="宋体" w:eastAsia="宋体" w:cs="宋体"/>
          <w:b w:val="0"/>
          <w:bCs w:val="0"/>
          <w:i w:val="0"/>
          <w:color w:val="000000"/>
          <w:kern w:val="0"/>
          <w:sz w:val="28"/>
          <w:szCs w:val="28"/>
          <w:highlight w:val="none"/>
          <w:u w:val="none"/>
          <w:lang w:val="en-US" w:eastAsia="zh-CN" w:bidi="ar"/>
        </w:rPr>
        <w:t>5、销售血液制品必须收集纸质处方或复印件。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firstLineChars="200"/>
        <w:textAlignment w:val="auto"/>
        <w:rPr>
          <w:rFonts w:hint="eastAsia" w:ascii="宋体" w:hAnsi="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sz w:val="28"/>
          <w:szCs w:val="28"/>
          <w:highlight w:val="none"/>
          <w:lang w:eastAsia="zh-CN"/>
        </w:rPr>
        <w:t>严格</w:t>
      </w:r>
      <w:r>
        <w:rPr>
          <w:rFonts w:hint="eastAsia" w:ascii="宋体" w:hAnsi="宋体"/>
          <w:sz w:val="28"/>
          <w:szCs w:val="28"/>
          <w:highlight w:val="none"/>
          <w:lang w:val="en-US" w:eastAsia="zh-CN"/>
        </w:rPr>
        <w:t>将</w:t>
      </w:r>
      <w:r>
        <w:rPr>
          <w:rFonts w:hint="eastAsia" w:ascii="宋体" w:hAnsi="宋体"/>
          <w:sz w:val="28"/>
          <w:szCs w:val="28"/>
          <w:highlight w:val="none"/>
          <w:lang w:eastAsia="zh-CN"/>
        </w:rPr>
        <w:t>药品与非药品、内服与外用、</w:t>
      </w:r>
      <w:r>
        <w:rPr>
          <w:rFonts w:hint="eastAsia" w:ascii="宋体" w:hAnsi="宋体"/>
          <w:sz w:val="28"/>
          <w:szCs w:val="28"/>
          <w:highlight w:val="none"/>
          <w:lang w:val="en-US" w:eastAsia="zh-CN"/>
        </w:rPr>
        <w:t>处方药与非处方药</w:t>
      </w:r>
      <w:r>
        <w:rPr>
          <w:rFonts w:hint="eastAsia" w:ascii="宋体" w:hAnsi="宋体"/>
          <w:sz w:val="28"/>
          <w:szCs w:val="28"/>
          <w:highlight w:val="none"/>
          <w:lang w:eastAsia="zh-CN"/>
        </w:rPr>
        <w:t>分开存放，</w:t>
      </w:r>
      <w:r>
        <w:rPr>
          <w:rFonts w:hint="eastAsia"/>
          <w:b w:val="0"/>
          <w:bCs/>
          <w:color w:val="000000"/>
          <w:sz w:val="28"/>
          <w:szCs w:val="28"/>
          <w:highlight w:val="none"/>
          <w:lang w:eastAsia="zh-CN"/>
        </w:rPr>
        <w:t>处方药不得开架销售，</w:t>
      </w:r>
      <w:r>
        <w:rPr>
          <w:rFonts w:hint="eastAsia" w:ascii="宋体" w:hAnsi="宋体"/>
          <w:sz w:val="28"/>
          <w:szCs w:val="28"/>
          <w:highlight w:val="none"/>
          <w:lang w:val="en-US" w:eastAsia="zh-CN"/>
        </w:rPr>
        <w:t>休息区不得存放药品。</w:t>
      </w:r>
    </w:p>
    <w:p>
      <w:pPr>
        <w:keepNext w:val="0"/>
        <w:keepLines w:val="0"/>
        <w:pageBreakBefore w:val="0"/>
        <w:widowControl w:val="0"/>
        <w:wordWrap/>
        <w:topLinePunct w:val="0"/>
        <w:bidi w:val="0"/>
        <w:spacing w:line="360" w:lineRule="auto"/>
        <w:ind w:firstLine="560" w:firstLineChars="200"/>
        <w:textAlignment w:val="auto"/>
        <w:rPr>
          <w:rFonts w:hint="eastAsia"/>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、各</w:t>
      </w:r>
      <w:r>
        <w:rPr>
          <w:rFonts w:hint="eastAsia" w:ascii="宋体" w:hAnsi="宋体" w:eastAsia="宋体" w:cs="宋体"/>
          <w:sz w:val="28"/>
          <w:szCs w:val="28"/>
          <w:highlight w:val="none"/>
          <w:lang w:eastAsia="zh-CN"/>
        </w:rPr>
        <w:t>门</w:t>
      </w:r>
      <w:r>
        <w:rPr>
          <w:rFonts w:hint="eastAsia" w:ascii="宋体" w:hAnsi="宋体" w:eastAsia="宋体" w:cs="宋体"/>
          <w:sz w:val="28"/>
          <w:szCs w:val="28"/>
          <w:highlight w:val="none"/>
        </w:rPr>
        <w:t>店执业药师（含远程执业药师）须在岗履职，</w:t>
      </w:r>
      <w:r>
        <w:rPr>
          <w:rFonts w:hint="eastAsia" w:ascii="宋体" w:hAnsi="宋体" w:eastAsia="宋体" w:cs="宋体"/>
          <w:sz w:val="28"/>
          <w:szCs w:val="28"/>
          <w:highlight w:val="none"/>
          <w:lang w:eastAsia="zh-CN"/>
        </w:rPr>
        <w:t>远程审方执业药师必须及时在线审方。</w:t>
      </w:r>
      <w:r>
        <w:rPr>
          <w:rFonts w:hint="eastAsia" w:ascii="宋体" w:hAnsi="宋体" w:eastAsia="宋体" w:cs="宋体"/>
          <w:sz w:val="28"/>
          <w:szCs w:val="28"/>
          <w:highlight w:val="none"/>
        </w:rPr>
        <w:t>执业药师不在岗时，应在柜台显著位置摆放“执业药师不在岗</w:t>
      </w:r>
      <w:r>
        <w:rPr>
          <w:rFonts w:hint="eastAsia" w:ascii="宋体" w:hAnsi="宋体" w:eastAsia="宋体" w:cs="宋体"/>
          <w:sz w:val="28"/>
          <w:szCs w:val="28"/>
          <w:highlight w:val="none"/>
          <w:lang w:eastAsia="zh-CN"/>
        </w:rPr>
        <w:t>，暂停销售处方药和甲类非处方药</w:t>
      </w:r>
      <w:r>
        <w:rPr>
          <w:rFonts w:hint="eastAsia" w:ascii="宋体" w:hAnsi="宋体" w:eastAsia="宋体" w:cs="宋体"/>
          <w:sz w:val="28"/>
          <w:szCs w:val="28"/>
          <w:highlight w:val="none"/>
        </w:rPr>
        <w:t>”桌牌</w:t>
      </w:r>
      <w:r>
        <w:rPr>
          <w:rFonts w:hint="eastAsia" w:ascii="宋体" w:hAnsi="宋体" w:eastAsia="宋体" w:cs="宋体"/>
          <w:sz w:val="28"/>
          <w:szCs w:val="28"/>
          <w:highlight w:val="none"/>
          <w:lang w:eastAsia="zh-CN"/>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8、核对商品价签，所有商品必须严格执行“一货一签”，不得出现无价签或价签与实物不符的情况。</w:t>
      </w:r>
    </w:p>
    <w:p>
      <w:pPr>
        <w:pStyle w:val="2"/>
        <w:keepNext w:val="0"/>
        <w:keepLines w:val="0"/>
        <w:pageBreakBefore w:val="0"/>
        <w:widowControl w:val="0"/>
        <w:kinsoku w:val="0"/>
        <w:wordWrap/>
        <w:overflowPunct w:val="0"/>
        <w:topLinePunct w:val="0"/>
        <w:autoSpaceDE w:val="0"/>
        <w:autoSpaceDN w:val="0"/>
        <w:bidi w:val="0"/>
        <w:adjustRightInd w:val="0"/>
        <w:snapToGrid w:val="0"/>
        <w:spacing w:before="0" w:beforeAutospacing="0" w:after="0" w:afterAutospacing="0" w:line="360" w:lineRule="auto"/>
        <w:ind w:right="0" w:rightChars="0" w:firstLine="560" w:firstLineChars="200"/>
        <w:jc w:val="both"/>
        <w:textAlignment w:val="auto"/>
        <w:rPr>
          <w:rFonts w:hint="eastAsia"/>
          <w:b w:val="0"/>
          <w:color w:val="000000"/>
          <w:sz w:val="28"/>
          <w:szCs w:val="28"/>
          <w:highlight w:val="none"/>
        </w:rPr>
      </w:pPr>
      <w:r>
        <w:rPr>
          <w:rFonts w:hint="eastAsia"/>
          <w:b w:val="0"/>
          <w:color w:val="000000"/>
          <w:sz w:val="28"/>
          <w:szCs w:val="28"/>
          <w:highlight w:val="none"/>
          <w:shd w:val="clear" w:color="auto" w:fill="FFFFFF"/>
          <w:lang w:val="en-US" w:eastAsia="zh-CN"/>
        </w:rPr>
        <w:t>9、中药</w:t>
      </w:r>
      <w:r>
        <w:rPr>
          <w:rFonts w:hint="eastAsia"/>
          <w:b w:val="0"/>
          <w:color w:val="000000"/>
          <w:sz w:val="28"/>
          <w:szCs w:val="28"/>
          <w:highlight w:val="none"/>
        </w:rPr>
        <w:t>调配人员做到“</w:t>
      </w:r>
      <w:r>
        <w:rPr>
          <w:rStyle w:val="6"/>
          <w:rFonts w:ascii="Arial" w:hAnsi="Arial" w:cs="Arial"/>
          <w:b w:val="0"/>
          <w:color w:val="000000"/>
          <w:sz w:val="28"/>
          <w:szCs w:val="28"/>
          <w:highlight w:val="none"/>
        </w:rPr>
        <w:t>四查十对</w:t>
      </w:r>
      <w:r>
        <w:rPr>
          <w:rStyle w:val="6"/>
          <w:rFonts w:hint="eastAsia" w:ascii="Arial" w:hAnsi="Arial" w:cs="Arial"/>
          <w:b w:val="0"/>
          <w:color w:val="000000"/>
          <w:sz w:val="28"/>
          <w:szCs w:val="28"/>
          <w:highlight w:val="none"/>
        </w:rPr>
        <w:t>”</w:t>
      </w:r>
      <w:r>
        <w:rPr>
          <w:rFonts w:hint="eastAsia"/>
          <w:b w:val="0"/>
          <w:color w:val="000000"/>
          <w:sz w:val="28"/>
          <w:szCs w:val="28"/>
          <w:highlight w:val="none"/>
        </w:rPr>
        <w:t>认真仔细抓药，不得疏忽大意；复核人员必须复核</w:t>
      </w:r>
      <w:r>
        <w:rPr>
          <w:rFonts w:hint="eastAsia"/>
          <w:b w:val="0"/>
          <w:color w:val="000000"/>
          <w:sz w:val="28"/>
          <w:szCs w:val="28"/>
          <w:highlight w:val="none"/>
          <w:lang w:eastAsia="zh-CN"/>
        </w:rPr>
        <w:t>签名</w:t>
      </w:r>
      <w:r>
        <w:rPr>
          <w:rFonts w:hint="eastAsia"/>
          <w:b w:val="0"/>
          <w:color w:val="000000"/>
          <w:sz w:val="28"/>
          <w:szCs w:val="28"/>
          <w:highlight w:val="none"/>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sz w:val="28"/>
          <w:szCs w:val="28"/>
          <w:highlight w:val="none"/>
          <w:lang w:val="en-US" w:eastAsia="zh-CN"/>
        </w:rPr>
        <w:t>10、要确保英克系统中的医保销售品种明细与医保结算系统的品种明细一致，单笔医保销售超过300元的必须做好登记。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textAlignment w:val="auto"/>
        <w:rPr>
          <w:rFonts w:hint="eastAsia" w:ascii="宋体" w:hAnsi="宋体" w:eastAsia="宋体" w:cs="宋体"/>
          <w:sz w:val="28"/>
          <w:szCs w:val="28"/>
          <w:highlight w:val="none"/>
          <w:lang w:val="en-US" w:eastAsia="zh-CN"/>
        </w:rPr>
      </w:pPr>
      <w:r>
        <w:rPr>
          <w:rFonts w:hint="eastAsia" w:ascii="宋体" w:hAnsi="宋体" w:eastAsia="宋体" w:cs="宋体"/>
          <w:color w:val="000000"/>
          <w:sz w:val="28"/>
          <w:szCs w:val="28"/>
          <w:highlight w:val="none"/>
          <w:lang w:val="en-US" w:eastAsia="zh-CN"/>
        </w:rPr>
        <w:t>11</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严格</w:t>
      </w:r>
      <w:r>
        <w:rPr>
          <w:rFonts w:hint="eastAsia" w:ascii="宋体" w:hAnsi="宋体" w:eastAsia="宋体" w:cs="宋体"/>
          <w:color w:val="000000"/>
          <w:sz w:val="28"/>
          <w:szCs w:val="28"/>
          <w:highlight w:val="none"/>
          <w:lang w:eastAsia="zh-CN"/>
        </w:rPr>
        <w:t>执行</w:t>
      </w:r>
      <w:r>
        <w:rPr>
          <w:rFonts w:hint="eastAsia" w:ascii="宋体" w:hAnsi="宋体" w:eastAsia="宋体" w:cs="宋体"/>
          <w:color w:val="000000"/>
          <w:sz w:val="28"/>
          <w:szCs w:val="28"/>
          <w:highlight w:val="none"/>
        </w:rPr>
        <w:t>重大情况报告制度，认真防范、处置重大事件和突发事件</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一旦发现质量问题应立即停售，</w:t>
      </w:r>
      <w:r>
        <w:rPr>
          <w:rFonts w:hint="eastAsia" w:ascii="宋体" w:hAnsi="宋体" w:eastAsia="宋体" w:cs="宋体"/>
          <w:sz w:val="28"/>
          <w:szCs w:val="28"/>
          <w:highlight w:val="none"/>
        </w:rPr>
        <w:t>遇到商品质量事故</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及时上报到质管部</w:t>
      </w:r>
      <w:r>
        <w:rPr>
          <w:rFonts w:hint="eastAsia" w:ascii="宋体" w:hAnsi="宋体" w:eastAsia="宋体" w:cs="宋体"/>
          <w:sz w:val="28"/>
          <w:szCs w:val="28"/>
          <w:highlight w:val="none"/>
          <w:lang w:eastAsia="zh-CN"/>
        </w:rPr>
        <w:t>和相关部门</w:t>
      </w:r>
      <w:r>
        <w:rPr>
          <w:rFonts w:hint="eastAsia" w:ascii="宋体" w:hAnsi="宋体" w:eastAsia="宋体" w:cs="宋体"/>
          <w:sz w:val="28"/>
          <w:szCs w:val="28"/>
          <w:highlight w:val="none"/>
        </w:rPr>
        <w:t>，并采取有效措施妥善处置。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textAlignment w:val="auto"/>
        <w:rPr>
          <w:rFonts w:hint="eastAsia" w:ascii="宋体" w:hAnsi="宋体" w:eastAsia="宋体" w:cs="宋体"/>
          <w:sz w:val="28"/>
          <w:szCs w:val="28"/>
          <w:highlight w:val="none"/>
          <w:lang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60"/>
        <w:textAlignment w:val="auto"/>
        <w:rPr>
          <w:rFonts w:hint="eastAsia" w:ascii="宋体" w:hAnsi="宋体" w:eastAsia="宋体" w:cs="宋体"/>
          <w:sz w:val="28"/>
          <w:szCs w:val="28"/>
          <w:highlight w:val="none"/>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5880" w:firstLineChars="2100"/>
        <w:jc w:val="both"/>
        <w:textAlignment w:val="auto"/>
        <w:outlineLvl w:val="9"/>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质管部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360" w:lineRule="auto"/>
        <w:ind w:right="0" w:rightChars="0" w:firstLine="5493" w:firstLineChars="1962"/>
        <w:textAlignment w:val="auto"/>
        <w:rPr>
          <w:rFonts w:hint="eastAsia" w:ascii="宋体" w:hAnsi="宋体" w:eastAsia="宋体" w:cs="宋体"/>
          <w:sz w:val="28"/>
          <w:szCs w:val="28"/>
          <w:highlight w:val="none"/>
          <w:lang w:eastAsia="zh-CN"/>
        </w:rPr>
      </w:pPr>
      <w:r>
        <w:rPr>
          <w:rFonts w:hint="eastAsia" w:ascii="宋体" w:hAnsi="宋体" w:eastAsia="宋体" w:cs="宋体"/>
          <w:color w:val="000000"/>
          <w:kern w:val="0"/>
          <w:sz w:val="28"/>
          <w:szCs w:val="28"/>
          <w:highlight w:val="none"/>
          <w:lang w:val="en-US" w:eastAsia="zh-CN"/>
        </w:rPr>
        <w:t>2020年4月27日</w:t>
      </w:r>
    </w:p>
    <w:p>
      <w:pPr>
        <w:keepNext w:val="0"/>
        <w:keepLines w:val="0"/>
        <w:pageBreakBefore w:val="0"/>
        <w:widowControl w:val="0"/>
        <w:wordWrap/>
        <w:topLinePunct w:val="0"/>
        <w:bidi w:val="0"/>
        <w:spacing w:line="360" w:lineRule="auto"/>
        <w:textAlignment w:val="auto"/>
        <w:rPr>
          <w:rFonts w:hint="eastAsia"/>
          <w:sz w:val="28"/>
          <w:szCs w:val="28"/>
          <w:highlight w:val="none"/>
        </w:rPr>
      </w:pPr>
    </w:p>
    <w:p>
      <w:pPr>
        <w:keepNext w:val="0"/>
        <w:keepLines w:val="0"/>
        <w:pageBreakBefore w:val="0"/>
        <w:wordWrap/>
        <w:topLinePunct w:val="0"/>
        <w:bidi w:val="0"/>
        <w:spacing w:line="360" w:lineRule="auto"/>
        <w:textAlignment w:val="auto"/>
        <w:rPr>
          <w:rFonts w:hint="eastAsia" w:ascii="宋体" w:hAnsi="宋体" w:eastAsia="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F6FF6"/>
    <w:rsid w:val="08500EE7"/>
    <w:rsid w:val="0C3D2261"/>
    <w:rsid w:val="0CC90351"/>
    <w:rsid w:val="0FB37DDF"/>
    <w:rsid w:val="12621F68"/>
    <w:rsid w:val="13B0765E"/>
    <w:rsid w:val="145A564F"/>
    <w:rsid w:val="18760DA8"/>
    <w:rsid w:val="1FEA5AE6"/>
    <w:rsid w:val="25B220A8"/>
    <w:rsid w:val="29030C61"/>
    <w:rsid w:val="2AB3056F"/>
    <w:rsid w:val="30B27254"/>
    <w:rsid w:val="3C136ED0"/>
    <w:rsid w:val="41D237C6"/>
    <w:rsid w:val="504E3133"/>
    <w:rsid w:val="55DA1525"/>
    <w:rsid w:val="5CE12E4B"/>
    <w:rsid w:val="5D5046E2"/>
    <w:rsid w:val="5DE76F04"/>
    <w:rsid w:val="5E397AFF"/>
    <w:rsid w:val="5E786894"/>
    <w:rsid w:val="5F6F461B"/>
    <w:rsid w:val="6BD4327E"/>
    <w:rsid w:val="744E7295"/>
    <w:rsid w:val="76EE4627"/>
    <w:rsid w:val="7C65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Emphasis"/>
    <w:basedOn w:val="4"/>
    <w:qFormat/>
    <w:uiPriority w:val="20"/>
    <w:rPr>
      <w:color w:val="CC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2020-04-28T04:09:54Z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