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慢病管理专员绩效考核方案第二阶段调整方案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根据太极大药房（2019）12号文，慢病管理专员绩效考核方案分为三个阶段，因疫情及部门工作调整原因，特申请自2020年3月进入第二阶段考核，现将第二阶段绩效考核调整如下：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第二阶段考核：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技能绩效+服务绩效+核心产品提成，考核期6个月</w:t>
      </w:r>
    </w:p>
    <w:tbl>
      <w:tblPr>
        <w:tblStyle w:val="2"/>
        <w:tblpPr w:leftFromText="180" w:rightFromText="180" w:vertAnchor="text" w:horzAnchor="page" w:tblpX="769" w:tblpY="203"/>
        <w:tblOverlap w:val="never"/>
        <w:tblW w:w="105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2700"/>
        <w:gridCol w:w="2955"/>
        <w:gridCol w:w="1080"/>
        <w:gridCol w:w="1080"/>
        <w:gridCol w:w="13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指标类型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主要考核项目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考核标准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技能绩效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有效慢病会员建档数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200人/月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按实际完成比例发放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有效检测频次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200人/月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服务绩效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电话回访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400位/月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25%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按实际考核结果发放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巡店带教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每周1天，每天3家门店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25%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慢病教练班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学员出勤率、班级纪律维护、统分打卡时效性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25%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朋友圈素材及社群管理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素材按时、按质、按量提交及发布；社群管理（回复及时性、有效性、准确性）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25%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产品提成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慢病社群销售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慢病社群顾客提出购买需求，有慢病专员全程跟踪服务，则70%计入其销售提成，30%计入吸人的健康顾问。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根据实际销售发放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慢病小程序线上销售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慢病专员需负责慢病小程序引流工作，并跟踪销售订单及服务，全额计入其销售提成。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指定服务产生销售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顾客指定由慢病专员服务而产生的销售全额计入其销售提成；原健康顾客接待完成后，由慢病管理专员服务接待产生的销售。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其他分享经济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后期其他的分享经济方法渠道另行行文通知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9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考核权重由慢病管理部根据当期工作重点制定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F458F"/>
    <w:rsid w:val="4E50230C"/>
    <w:rsid w:val="60C5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2020-03-04T03:12:00Z</dcterms:created>
  <dc:creator>Administrator.PC-20191101QQNG</dc:creator>
  <cp:lastModifiedBy>柳</cp:lastModifiedBy>
  <dcterms:modified xsi:type="dcterms:W3CDTF">2020-03-10T01:32:54Z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