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lang w:eastAsia="zh-CN"/>
        </w:rPr>
        <w:t>关于加强元旦期间质量管理的</w:t>
      </w:r>
      <w:r>
        <w:rPr>
          <w:rFonts w:hint="eastAsia"/>
          <w:b/>
          <w:bCs/>
          <w:sz w:val="36"/>
          <w:szCs w:val="36"/>
        </w:rPr>
        <w:t>通知</w:t>
      </w:r>
    </w:p>
    <w:p>
      <w:pPr>
        <w:keepNext w:val="0"/>
        <w:keepLines w:val="0"/>
        <w:pageBreakBefore w:val="0"/>
        <w:wordWrap/>
        <w:topLinePunct w:val="0"/>
        <w:bidi w:val="0"/>
        <w:spacing w:line="560" w:lineRule="exact"/>
        <w:textAlignment w:val="auto"/>
        <w:rPr>
          <w:rFonts w:hint="eastAsia" w:ascii="宋体" w:hAnsi="宋体" w:eastAsia="宋体" w:cs="宋体"/>
          <w:sz w:val="28"/>
          <w:szCs w:val="28"/>
          <w:highlight w:val="none"/>
        </w:rPr>
      </w:pPr>
    </w:p>
    <w:p>
      <w:pPr>
        <w:keepNext w:val="0"/>
        <w:keepLines w:val="0"/>
        <w:pageBreakBefore w:val="0"/>
        <w:wordWrap/>
        <w:topLinePunct w:val="0"/>
        <w:bidi w:val="0"/>
        <w:spacing w:line="56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各</w:t>
      </w:r>
      <w:r>
        <w:rPr>
          <w:rFonts w:hint="eastAsia" w:ascii="宋体" w:hAnsi="宋体" w:eastAsia="宋体" w:cs="宋体"/>
          <w:sz w:val="28"/>
          <w:szCs w:val="28"/>
          <w:highlight w:val="none"/>
          <w:lang w:eastAsia="zh-CN"/>
        </w:rPr>
        <w:t>直营门店、各加盟药店</w:t>
      </w:r>
      <w:r>
        <w:rPr>
          <w:rFonts w:hint="eastAsia" w:ascii="宋体" w:hAnsi="宋体" w:eastAsia="宋体" w:cs="宋体"/>
          <w:sz w:val="28"/>
          <w:szCs w:val="28"/>
          <w:highlight w:val="none"/>
        </w:rPr>
        <w:t>：</w:t>
      </w:r>
    </w:p>
    <w:p>
      <w:pPr>
        <w:keepNext w:val="0"/>
        <w:keepLines w:val="0"/>
        <w:pageBreakBefore w:val="0"/>
        <w:widowControl w:val="0"/>
        <w:wordWrap/>
        <w:topLinePunct w:val="0"/>
        <w:bidi w:val="0"/>
        <w:spacing w:line="560" w:lineRule="exact"/>
        <w:ind w:firstLine="640"/>
        <w:textAlignment w:val="auto"/>
        <w:rPr>
          <w:rFonts w:hint="eastAsia" w:ascii="宋体" w:hAnsi="宋体" w:eastAsia="宋体" w:cs="宋体"/>
          <w:sz w:val="28"/>
          <w:szCs w:val="28"/>
          <w:highlight w:val="none"/>
          <w:lang w:eastAsia="zh-CN"/>
        </w:rPr>
      </w:pPr>
      <w:r>
        <w:rPr>
          <w:rFonts w:hint="eastAsia" w:ascii="宋体" w:hAnsi="宋体" w:eastAsia="宋体" w:cs="宋体"/>
          <w:color w:val="000000"/>
          <w:kern w:val="0"/>
          <w:sz w:val="28"/>
          <w:szCs w:val="28"/>
          <w:highlight w:val="none"/>
        </w:rPr>
        <w:t>为切实保障</w:t>
      </w:r>
      <w:r>
        <w:rPr>
          <w:rFonts w:hint="eastAsia" w:ascii="宋体" w:hAnsi="宋体" w:eastAsia="宋体" w:cs="宋体"/>
          <w:color w:val="000000"/>
          <w:kern w:val="0"/>
          <w:sz w:val="28"/>
          <w:szCs w:val="28"/>
          <w:highlight w:val="none"/>
          <w:lang w:eastAsia="zh-CN"/>
        </w:rPr>
        <w:t>元旦</w:t>
      </w:r>
      <w:r>
        <w:rPr>
          <w:rFonts w:hint="eastAsia" w:ascii="宋体" w:hAnsi="宋体" w:eastAsia="宋体" w:cs="宋体"/>
          <w:color w:val="000000"/>
          <w:kern w:val="0"/>
          <w:sz w:val="28"/>
          <w:szCs w:val="28"/>
          <w:highlight w:val="none"/>
        </w:rPr>
        <w:t>期间</w:t>
      </w:r>
      <w:r>
        <w:rPr>
          <w:rFonts w:hint="eastAsia" w:ascii="宋体" w:hAnsi="宋体" w:eastAsia="宋体" w:cs="宋体"/>
          <w:color w:val="000000"/>
          <w:kern w:val="0"/>
          <w:sz w:val="28"/>
          <w:szCs w:val="28"/>
          <w:highlight w:val="none"/>
          <w:lang w:eastAsia="zh-CN"/>
        </w:rPr>
        <w:t>经营</w:t>
      </w:r>
      <w:r>
        <w:rPr>
          <w:rFonts w:hint="eastAsia" w:ascii="宋体" w:hAnsi="宋体" w:eastAsia="宋体" w:cs="宋体"/>
          <w:color w:val="000000"/>
          <w:kern w:val="0"/>
          <w:sz w:val="28"/>
          <w:szCs w:val="28"/>
          <w:highlight w:val="none"/>
        </w:rPr>
        <w:t>质量，加强药品、</w:t>
      </w:r>
      <w:r>
        <w:rPr>
          <w:rFonts w:hint="eastAsia" w:ascii="宋体" w:hAnsi="宋体" w:eastAsia="宋体" w:cs="宋体"/>
          <w:color w:val="000000"/>
          <w:kern w:val="0"/>
          <w:sz w:val="28"/>
          <w:szCs w:val="28"/>
          <w:highlight w:val="none"/>
          <w:lang w:eastAsia="zh-CN"/>
        </w:rPr>
        <w:t>保健食品、医疗器械、</w:t>
      </w:r>
      <w:r>
        <w:rPr>
          <w:rFonts w:hint="eastAsia" w:ascii="宋体" w:hAnsi="宋体" w:eastAsia="宋体" w:cs="宋体"/>
          <w:color w:val="000000"/>
          <w:kern w:val="0"/>
          <w:sz w:val="28"/>
          <w:szCs w:val="28"/>
          <w:highlight w:val="none"/>
        </w:rPr>
        <w:t>化妆品、</w:t>
      </w:r>
      <w:r>
        <w:rPr>
          <w:rFonts w:hint="eastAsia" w:ascii="宋体" w:hAnsi="宋体" w:eastAsia="宋体" w:cs="宋体"/>
          <w:color w:val="000000"/>
          <w:kern w:val="0"/>
          <w:sz w:val="28"/>
          <w:szCs w:val="28"/>
          <w:highlight w:val="none"/>
          <w:lang w:eastAsia="zh-CN"/>
        </w:rPr>
        <w:t>消毒产品</w:t>
      </w:r>
      <w:r>
        <w:rPr>
          <w:rFonts w:hint="eastAsia" w:ascii="宋体" w:hAnsi="宋体" w:eastAsia="宋体" w:cs="宋体"/>
          <w:color w:val="000000"/>
          <w:kern w:val="0"/>
          <w:sz w:val="28"/>
          <w:szCs w:val="28"/>
          <w:highlight w:val="none"/>
        </w:rPr>
        <w:t>等商品</w:t>
      </w:r>
      <w:r>
        <w:rPr>
          <w:rFonts w:hint="eastAsia" w:ascii="宋体" w:hAnsi="宋体" w:eastAsia="宋体" w:cs="宋体"/>
          <w:color w:val="000000"/>
          <w:kern w:val="0"/>
          <w:sz w:val="28"/>
          <w:szCs w:val="28"/>
          <w:highlight w:val="none"/>
          <w:lang w:eastAsia="zh-CN"/>
        </w:rPr>
        <w:t>经营</w:t>
      </w:r>
      <w:r>
        <w:rPr>
          <w:rFonts w:hint="eastAsia" w:ascii="宋体" w:hAnsi="宋体" w:eastAsia="宋体" w:cs="宋体"/>
          <w:color w:val="000000"/>
          <w:kern w:val="0"/>
          <w:sz w:val="28"/>
          <w:szCs w:val="28"/>
          <w:highlight w:val="none"/>
        </w:rPr>
        <w:t>质量管理，</w:t>
      </w:r>
      <w:r>
        <w:rPr>
          <w:rFonts w:hint="eastAsia" w:ascii="宋体" w:hAnsi="宋体" w:eastAsia="宋体" w:cs="宋体"/>
          <w:color w:val="000000"/>
          <w:kern w:val="0"/>
          <w:sz w:val="28"/>
          <w:szCs w:val="28"/>
          <w:highlight w:val="none"/>
          <w:lang w:eastAsia="zh-CN"/>
        </w:rPr>
        <w:t>落实疫情防控要求，</w:t>
      </w:r>
      <w:r>
        <w:rPr>
          <w:rFonts w:hint="eastAsia" w:ascii="宋体" w:hAnsi="宋体" w:eastAsia="宋体" w:cs="宋体"/>
          <w:sz w:val="28"/>
          <w:szCs w:val="28"/>
          <w:highlight w:val="none"/>
        </w:rPr>
        <w:t>杜绝质量安全事故发生</w:t>
      </w:r>
      <w:r>
        <w:rPr>
          <w:rFonts w:hint="eastAsia" w:ascii="宋体" w:hAnsi="宋体" w:eastAsia="宋体" w:cs="宋体"/>
          <w:sz w:val="28"/>
          <w:szCs w:val="28"/>
          <w:highlight w:val="none"/>
          <w:lang w:eastAsia="zh-CN"/>
        </w:rPr>
        <w:t>。具体要求</w:t>
      </w:r>
      <w:r>
        <w:rPr>
          <w:rFonts w:hint="eastAsia" w:ascii="宋体" w:hAnsi="宋体" w:eastAsia="宋体" w:cs="宋体"/>
          <w:sz w:val="28"/>
          <w:szCs w:val="28"/>
          <w:highlight w:val="none"/>
        </w:rPr>
        <w:t>通知如下</w:t>
      </w:r>
      <w:r>
        <w:rPr>
          <w:rFonts w:hint="eastAsia" w:ascii="宋体" w:hAnsi="宋体" w:eastAsia="宋体" w:cs="宋体"/>
          <w:sz w:val="28"/>
          <w:szCs w:val="28"/>
          <w:highlight w:val="none"/>
          <w:lang w:eastAsia="zh-CN"/>
        </w:rPr>
        <w:t>，请认真落实执行。</w:t>
      </w:r>
      <w:bookmarkStart w:id="0" w:name="_GoBack"/>
      <w:bookmarkEnd w:id="0"/>
      <w:r>
        <w:rPr>
          <w:rFonts w:hint="eastAsia" w:ascii="宋体" w:hAnsi="宋体" w:eastAsia="宋体" w:cs="宋体"/>
          <w:color w:val="000000"/>
          <w:kern w:val="0"/>
          <w:sz w:val="28"/>
          <w:szCs w:val="28"/>
          <w:highlight w:val="none"/>
        </w:rPr>
        <w:t xml:space="preserve"> </w:t>
      </w:r>
    </w:p>
    <w:p>
      <w:pPr>
        <w:ind w:firstLine="560" w:firstLineChars="200"/>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、在门店进口醒目处张贴“进店请佩戴口罩”温馨提示</w:t>
      </w:r>
      <w:r>
        <w:rPr>
          <w:rFonts w:hint="eastAsia" w:asciiTheme="minorEastAsia" w:hAnsiTheme="minorEastAsia" w:cstheme="minorEastAsia"/>
          <w:sz w:val="28"/>
          <w:szCs w:val="28"/>
          <w:highlight w:val="none"/>
          <w:lang w:eastAsia="zh-CN"/>
        </w:rPr>
        <w:t>，设置“</w:t>
      </w:r>
      <w:r>
        <w:rPr>
          <w:rFonts w:hint="eastAsia" w:asciiTheme="minorEastAsia" w:hAnsiTheme="minorEastAsia" w:cstheme="minorEastAsia"/>
          <w:sz w:val="28"/>
          <w:szCs w:val="28"/>
          <w:highlight w:val="none"/>
          <w:lang w:val="en-US" w:eastAsia="zh-CN"/>
        </w:rPr>
        <w:t>1米线</w:t>
      </w:r>
      <w:r>
        <w:rPr>
          <w:rFonts w:hint="eastAsia" w:asciiTheme="minorEastAsia" w:hAnsiTheme="minorEastAsia" w:cstheme="minorEastAsia"/>
          <w:sz w:val="28"/>
          <w:szCs w:val="28"/>
          <w:highlight w:val="none"/>
          <w:lang w:eastAsia="zh-CN"/>
        </w:rPr>
        <w:t>”，在入口检测体温，做好顾客体温登记。</w:t>
      </w:r>
    </w:p>
    <w:p>
      <w:pPr>
        <w:ind w:firstLine="560" w:firstLineChars="200"/>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w:t>
      </w:r>
      <w:r>
        <w:rPr>
          <w:rFonts w:hint="eastAsia" w:asciiTheme="minorEastAsia" w:hAnsiTheme="minorEastAsia" w:cstheme="minorEastAsia"/>
          <w:sz w:val="28"/>
          <w:szCs w:val="28"/>
          <w:highlight w:val="none"/>
          <w:lang w:eastAsia="zh-CN"/>
        </w:rPr>
        <w:t>门店</w:t>
      </w:r>
      <w:r>
        <w:rPr>
          <w:rFonts w:hint="eastAsia" w:asciiTheme="minorEastAsia" w:hAnsiTheme="minorEastAsia" w:eastAsiaTheme="minorEastAsia" w:cstheme="minorEastAsia"/>
          <w:sz w:val="28"/>
          <w:szCs w:val="28"/>
          <w:highlight w:val="none"/>
        </w:rPr>
        <w:t>员工</w:t>
      </w:r>
      <w:r>
        <w:rPr>
          <w:rFonts w:hint="eastAsia" w:asciiTheme="minorEastAsia" w:hAnsiTheme="minorEastAsia" w:cstheme="minorEastAsia"/>
          <w:sz w:val="28"/>
          <w:szCs w:val="28"/>
          <w:highlight w:val="none"/>
          <w:lang w:eastAsia="zh-CN"/>
        </w:rPr>
        <w:t>上班时</w:t>
      </w:r>
      <w:r>
        <w:rPr>
          <w:rFonts w:hint="eastAsia" w:asciiTheme="minorEastAsia" w:hAnsiTheme="minorEastAsia" w:eastAsiaTheme="minorEastAsia" w:cstheme="minorEastAsia"/>
          <w:sz w:val="28"/>
          <w:szCs w:val="28"/>
          <w:highlight w:val="none"/>
        </w:rPr>
        <w:t>必须佩戴口罩</w:t>
      </w:r>
      <w:r>
        <w:rPr>
          <w:rFonts w:hint="eastAsia" w:asciiTheme="minorEastAsia" w:hAnsiTheme="minorEastAsia" w:cstheme="minorEastAsia"/>
          <w:sz w:val="28"/>
          <w:szCs w:val="28"/>
          <w:highlight w:val="none"/>
          <w:lang w:eastAsia="zh-CN"/>
        </w:rPr>
        <w:t>，检测体温，做好员工体温登记。</w:t>
      </w:r>
    </w:p>
    <w:p>
      <w:pPr>
        <w:ind w:firstLine="560" w:firstLineChars="200"/>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w:t>
      </w:r>
      <w:r>
        <w:rPr>
          <w:rFonts w:hint="eastAsia" w:asciiTheme="minorEastAsia" w:hAnsiTheme="minorEastAsia" w:cstheme="minorEastAsia"/>
          <w:sz w:val="28"/>
          <w:szCs w:val="28"/>
          <w:highlight w:val="none"/>
          <w:lang w:eastAsia="zh-CN"/>
        </w:rPr>
        <w:t>销售退烧药止咳药必须凭身份证进行实名登记，所有人员要</w:t>
      </w:r>
      <w:r>
        <w:rPr>
          <w:rFonts w:hint="eastAsia" w:asciiTheme="minorEastAsia" w:hAnsiTheme="minorEastAsia" w:eastAsiaTheme="minorEastAsia" w:cstheme="minorEastAsia"/>
          <w:sz w:val="28"/>
          <w:szCs w:val="28"/>
          <w:highlight w:val="none"/>
        </w:rPr>
        <w:t>熟悉</w:t>
      </w:r>
      <w:r>
        <w:rPr>
          <w:rFonts w:hint="eastAsia" w:asciiTheme="minorEastAsia" w:hAnsiTheme="minorEastAsia" w:cstheme="minorEastAsia"/>
          <w:sz w:val="28"/>
          <w:szCs w:val="28"/>
          <w:highlight w:val="none"/>
          <w:lang w:eastAsia="zh-CN"/>
        </w:rPr>
        <w:t>富顿系统</w:t>
      </w:r>
      <w:r>
        <w:rPr>
          <w:rFonts w:hint="eastAsia" w:asciiTheme="minorEastAsia" w:hAnsiTheme="minorEastAsia" w:eastAsiaTheme="minorEastAsia" w:cstheme="minorEastAsia"/>
          <w:sz w:val="28"/>
          <w:szCs w:val="28"/>
          <w:highlight w:val="none"/>
        </w:rPr>
        <w:t>退烧药登</w:t>
      </w:r>
      <w:r>
        <w:rPr>
          <w:rFonts w:hint="eastAsia" w:asciiTheme="minorEastAsia" w:hAnsiTheme="minorEastAsia" w:cstheme="minorEastAsia"/>
          <w:sz w:val="28"/>
          <w:szCs w:val="28"/>
          <w:highlight w:val="none"/>
          <w:lang w:eastAsia="zh-CN"/>
        </w:rPr>
        <w:t>记</w:t>
      </w:r>
      <w:r>
        <w:rPr>
          <w:rFonts w:hint="eastAsia" w:asciiTheme="minorEastAsia" w:hAnsiTheme="minorEastAsia" w:eastAsiaTheme="minorEastAsia" w:cstheme="minorEastAsia"/>
          <w:sz w:val="28"/>
          <w:szCs w:val="28"/>
          <w:highlight w:val="none"/>
        </w:rPr>
        <w:t>流程</w:t>
      </w:r>
      <w:r>
        <w:rPr>
          <w:rFonts w:hint="eastAsia" w:asciiTheme="minorEastAsia" w:hAnsiTheme="minorEastAsia" w:cstheme="minorEastAsia"/>
          <w:sz w:val="28"/>
          <w:szCs w:val="28"/>
          <w:highlight w:val="none"/>
          <w:lang w:eastAsia="zh-CN"/>
        </w:rPr>
        <w:t>。不得在网上销售退烧药止咳药。</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0" w:rightChars="0" w:firstLine="560" w:firstLineChars="200"/>
        <w:textAlignment w:val="auto"/>
        <w:outlineLvl w:val="9"/>
        <w:rPr>
          <w:rFonts w:hint="eastAsia" w:ascii="宋体" w:hAnsi="宋体" w:eastAsia="宋体" w:cs="宋体"/>
          <w:b w:val="0"/>
          <w:bCs w:val="0"/>
          <w:i w:val="0"/>
          <w:color w:val="000000"/>
          <w:kern w:val="0"/>
          <w:sz w:val="28"/>
          <w:szCs w:val="28"/>
          <w:highlight w:val="none"/>
          <w:u w:val="none"/>
          <w:lang w:val="en-US" w:eastAsia="zh-CN" w:bidi="ar"/>
        </w:rPr>
      </w:pPr>
      <w:r>
        <w:rPr>
          <w:rFonts w:hint="eastAsia" w:ascii="宋体" w:hAnsi="宋体" w:eastAsia="宋体" w:cs="宋体"/>
          <w:b w:val="0"/>
          <w:bCs w:val="0"/>
          <w:i w:val="0"/>
          <w:color w:val="000000"/>
          <w:kern w:val="0"/>
          <w:sz w:val="28"/>
          <w:szCs w:val="28"/>
          <w:highlight w:val="none"/>
          <w:u w:val="none"/>
          <w:lang w:val="en-US" w:eastAsia="zh-CN" w:bidi="ar"/>
        </w:rPr>
        <w:t>4、销售含麻制剂必须凭顾客身份证进行电子扫码登记，一次购买不得超过2个最小包装。</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right="0" w:rightChars="0" w:firstLine="560" w:firstLineChars="200"/>
        <w:textAlignment w:val="auto"/>
        <w:rPr>
          <w:rFonts w:hint="eastAsia" w:ascii="宋体" w:hAnsi="宋体" w:eastAsia="宋体" w:cs="宋体"/>
          <w:b w:val="0"/>
          <w:bCs w:val="0"/>
          <w:i w:val="0"/>
          <w:color w:val="000000"/>
          <w:kern w:val="0"/>
          <w:sz w:val="28"/>
          <w:szCs w:val="28"/>
          <w:highlight w:val="none"/>
          <w:u w:val="none"/>
          <w:lang w:val="en-US" w:eastAsia="zh-CN" w:bidi="ar"/>
        </w:rPr>
      </w:pPr>
      <w:r>
        <w:rPr>
          <w:rFonts w:hint="eastAsia" w:ascii="宋体" w:hAnsi="宋体" w:eastAsia="宋体" w:cs="宋体"/>
          <w:b w:val="0"/>
          <w:bCs w:val="0"/>
          <w:i w:val="0"/>
          <w:color w:val="000000"/>
          <w:kern w:val="0"/>
          <w:sz w:val="28"/>
          <w:szCs w:val="28"/>
          <w:highlight w:val="none"/>
          <w:u w:val="none"/>
          <w:lang w:val="en-US" w:eastAsia="zh-CN" w:bidi="ar"/>
        </w:rPr>
        <w:t>5、销售血液制品必须收集纸质处方或复印件并经远程执业药师审核通过。</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right="0" w:rightChars="0" w:firstLine="560" w:firstLineChars="200"/>
        <w:textAlignment w:val="auto"/>
        <w:rPr>
          <w:rFonts w:hint="eastAsia" w:ascii="宋体" w:hAnsi="宋体" w:eastAsia="宋体" w:cs="宋体"/>
          <w:b w:val="0"/>
          <w:bCs w:val="0"/>
          <w:i w:val="0"/>
          <w:color w:val="000000"/>
          <w:kern w:val="0"/>
          <w:sz w:val="28"/>
          <w:szCs w:val="28"/>
          <w:highlight w:val="none"/>
          <w:u w:val="none"/>
          <w:lang w:val="en-US" w:eastAsia="zh-CN" w:bidi="ar"/>
        </w:rPr>
      </w:pPr>
      <w:r>
        <w:rPr>
          <w:rFonts w:hint="eastAsia" w:ascii="宋体" w:hAnsi="宋体" w:eastAsia="宋体" w:cs="宋体"/>
          <w:b w:val="0"/>
          <w:bCs w:val="0"/>
          <w:i w:val="0"/>
          <w:color w:val="000000"/>
          <w:kern w:val="0"/>
          <w:sz w:val="28"/>
          <w:szCs w:val="28"/>
          <w:highlight w:val="none"/>
          <w:u w:val="none"/>
          <w:lang w:val="en-US" w:eastAsia="zh-CN" w:bidi="ar"/>
        </w:rPr>
        <w:t>6、经营冷链药品的门店，确保冰箱24小时不断电，冰箱异常应及时报修、转移冷链药品。</w:t>
      </w:r>
    </w:p>
    <w:p>
      <w:pPr>
        <w:pStyle w:val="2"/>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560" w:lineRule="exact"/>
        <w:ind w:right="0" w:rightChars="0" w:firstLine="560" w:firstLineChars="200"/>
        <w:jc w:val="both"/>
        <w:textAlignment w:val="auto"/>
        <w:rPr>
          <w:rFonts w:hint="eastAsia" w:ascii="宋体" w:hAnsi="宋体" w:eastAsia="宋体" w:cs="宋体"/>
          <w:b w:val="0"/>
          <w:color w:val="000000"/>
          <w:sz w:val="28"/>
          <w:szCs w:val="28"/>
          <w:highlight w:val="none"/>
        </w:rPr>
      </w:pPr>
      <w:r>
        <w:rPr>
          <w:rFonts w:hint="eastAsia" w:ascii="宋体" w:hAnsi="宋体" w:cs="宋体"/>
          <w:b w:val="0"/>
          <w:bCs w:val="0"/>
          <w:color w:val="000000"/>
          <w:kern w:val="0"/>
          <w:sz w:val="28"/>
          <w:szCs w:val="28"/>
          <w:highlight w:val="none"/>
          <w:lang w:val="en-US" w:eastAsia="zh-CN"/>
        </w:rPr>
        <w:t>7、</w:t>
      </w:r>
      <w:r>
        <w:rPr>
          <w:rFonts w:hint="eastAsia" w:cs="宋体"/>
          <w:b w:val="0"/>
          <w:bCs w:val="0"/>
          <w:color w:val="000000"/>
          <w:kern w:val="0"/>
          <w:sz w:val="28"/>
          <w:szCs w:val="28"/>
          <w:highlight w:val="none"/>
          <w:lang w:val="en-US" w:eastAsia="zh-CN"/>
        </w:rPr>
        <w:t>销售</w:t>
      </w:r>
      <w:r>
        <w:rPr>
          <w:rFonts w:hint="eastAsia" w:ascii="宋体" w:hAnsi="宋体" w:eastAsia="宋体" w:cs="宋体"/>
          <w:b w:val="0"/>
          <w:color w:val="000000"/>
          <w:sz w:val="28"/>
          <w:szCs w:val="28"/>
          <w:highlight w:val="none"/>
        </w:rPr>
        <w:t>配方中药</w:t>
      </w:r>
      <w:r>
        <w:rPr>
          <w:rFonts w:hint="eastAsia" w:eastAsia="宋体" w:cs="宋体"/>
          <w:b w:val="0"/>
          <w:color w:val="000000"/>
          <w:sz w:val="28"/>
          <w:szCs w:val="28"/>
          <w:highlight w:val="none"/>
          <w:lang w:eastAsia="zh-CN"/>
        </w:rPr>
        <w:t>，</w:t>
      </w:r>
      <w:r>
        <w:rPr>
          <w:rFonts w:hint="eastAsia" w:ascii="宋体" w:hAnsi="宋体" w:eastAsia="宋体" w:cs="宋体"/>
          <w:b w:val="0"/>
          <w:color w:val="000000"/>
          <w:sz w:val="28"/>
          <w:szCs w:val="28"/>
          <w:highlight w:val="none"/>
        </w:rPr>
        <w:t>处方必须通过执业</w:t>
      </w:r>
      <w:r>
        <w:rPr>
          <w:rFonts w:hint="eastAsia" w:eastAsia="宋体" w:cs="宋体"/>
          <w:b w:val="0"/>
          <w:color w:val="000000"/>
          <w:sz w:val="28"/>
          <w:szCs w:val="28"/>
          <w:highlight w:val="none"/>
          <w:lang w:eastAsia="zh-CN"/>
        </w:rPr>
        <w:t>中</w:t>
      </w:r>
      <w:r>
        <w:rPr>
          <w:rFonts w:hint="eastAsia" w:ascii="宋体" w:hAnsi="宋体" w:eastAsia="宋体" w:cs="宋体"/>
          <w:b w:val="0"/>
          <w:color w:val="000000"/>
          <w:sz w:val="28"/>
          <w:szCs w:val="28"/>
          <w:highlight w:val="none"/>
        </w:rPr>
        <w:t>药师审方</w:t>
      </w:r>
      <w:r>
        <w:rPr>
          <w:rFonts w:hint="eastAsia" w:eastAsia="宋体" w:cs="宋体"/>
          <w:b w:val="0"/>
          <w:color w:val="000000"/>
          <w:sz w:val="28"/>
          <w:szCs w:val="28"/>
          <w:highlight w:val="none"/>
          <w:lang w:eastAsia="zh-CN"/>
        </w:rPr>
        <w:t>，</w:t>
      </w:r>
      <w:r>
        <w:rPr>
          <w:rFonts w:hint="eastAsia" w:ascii="宋体" w:hAnsi="宋体" w:eastAsia="宋体" w:cs="宋体"/>
          <w:b w:val="0"/>
          <w:color w:val="000000"/>
          <w:sz w:val="28"/>
          <w:szCs w:val="28"/>
          <w:highlight w:val="none"/>
        </w:rPr>
        <w:t>调配人员</w:t>
      </w:r>
      <w:r>
        <w:rPr>
          <w:rFonts w:hint="eastAsia" w:eastAsia="宋体" w:cs="宋体"/>
          <w:b w:val="0"/>
          <w:color w:val="000000"/>
          <w:sz w:val="28"/>
          <w:szCs w:val="28"/>
          <w:highlight w:val="none"/>
          <w:lang w:eastAsia="zh-CN"/>
        </w:rPr>
        <w:t>要</w:t>
      </w:r>
      <w:r>
        <w:rPr>
          <w:rFonts w:hint="eastAsia" w:ascii="宋体" w:hAnsi="宋体" w:eastAsia="宋体" w:cs="宋体"/>
          <w:b w:val="0"/>
          <w:color w:val="000000"/>
          <w:sz w:val="28"/>
          <w:szCs w:val="28"/>
          <w:highlight w:val="none"/>
        </w:rPr>
        <w:t>做到“</w:t>
      </w:r>
      <w:r>
        <w:rPr>
          <w:rStyle w:val="6"/>
          <w:rFonts w:hint="eastAsia" w:ascii="宋体" w:hAnsi="宋体" w:eastAsia="宋体" w:cs="宋体"/>
          <w:b w:val="0"/>
          <w:color w:val="000000"/>
          <w:sz w:val="28"/>
          <w:szCs w:val="28"/>
          <w:highlight w:val="none"/>
        </w:rPr>
        <w:t>四查十对”</w:t>
      </w:r>
      <w:r>
        <w:rPr>
          <w:rStyle w:val="6"/>
          <w:rFonts w:hint="eastAsia" w:eastAsia="宋体" w:cs="宋体"/>
          <w:b w:val="0"/>
          <w:color w:val="000000"/>
          <w:sz w:val="28"/>
          <w:szCs w:val="28"/>
          <w:highlight w:val="none"/>
          <w:lang w:eastAsia="zh-CN"/>
        </w:rPr>
        <w:t>，</w:t>
      </w:r>
      <w:r>
        <w:rPr>
          <w:rFonts w:hint="eastAsia" w:ascii="宋体" w:hAnsi="宋体" w:eastAsia="宋体" w:cs="宋体"/>
          <w:b w:val="0"/>
          <w:color w:val="000000"/>
          <w:sz w:val="28"/>
          <w:szCs w:val="28"/>
          <w:highlight w:val="none"/>
        </w:rPr>
        <w:t>必须复核</w:t>
      </w:r>
      <w:r>
        <w:rPr>
          <w:rFonts w:hint="eastAsia" w:ascii="宋体" w:hAnsi="宋体" w:eastAsia="宋体" w:cs="宋体"/>
          <w:b w:val="0"/>
          <w:color w:val="000000"/>
          <w:sz w:val="28"/>
          <w:szCs w:val="28"/>
          <w:highlight w:val="none"/>
          <w:lang w:eastAsia="zh-CN"/>
        </w:rPr>
        <w:t>签名</w:t>
      </w:r>
      <w:r>
        <w:rPr>
          <w:rFonts w:hint="eastAsia" w:ascii="宋体" w:hAnsi="宋体" w:eastAsia="宋体" w:cs="宋体"/>
          <w:b w:val="0"/>
          <w:color w:val="000000"/>
          <w:sz w:val="28"/>
          <w:szCs w:val="28"/>
          <w:highlight w:val="none"/>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right="0" w:rightChars="0" w:firstLine="560" w:firstLineChars="200"/>
        <w:textAlignment w:val="auto"/>
        <w:rPr>
          <w:rFonts w:hint="eastAsia" w:ascii="宋体" w:hAnsi="宋体" w:eastAsia="宋体" w:cs="宋体"/>
          <w:b w:val="0"/>
          <w:bCs w:val="0"/>
          <w:i w:val="0"/>
          <w:color w:val="000000"/>
          <w:kern w:val="0"/>
          <w:sz w:val="28"/>
          <w:szCs w:val="28"/>
          <w:highlight w:val="none"/>
          <w:u w:val="none"/>
          <w:lang w:val="en-US" w:eastAsia="zh-CN" w:bidi="ar"/>
        </w:rPr>
      </w:pPr>
      <w:r>
        <w:rPr>
          <w:rFonts w:hint="eastAsia" w:ascii="宋体" w:hAnsi="宋体" w:eastAsia="宋体" w:cs="宋体"/>
          <w:b w:val="0"/>
          <w:bCs/>
          <w:color w:val="000000"/>
          <w:sz w:val="28"/>
          <w:szCs w:val="28"/>
          <w:highlight w:val="none"/>
          <w:lang w:val="en-US" w:eastAsia="zh-CN"/>
        </w:rPr>
        <w:t>8、</w:t>
      </w:r>
      <w:r>
        <w:rPr>
          <w:rFonts w:hint="eastAsia" w:ascii="宋体" w:hAnsi="宋体" w:eastAsia="宋体" w:cs="宋体"/>
          <w:b w:val="0"/>
          <w:bCs/>
          <w:color w:val="000000"/>
          <w:sz w:val="28"/>
          <w:szCs w:val="28"/>
          <w:highlight w:val="none"/>
          <w:lang w:eastAsia="zh-CN"/>
        </w:rPr>
        <w:t>处方药不得开架陈列，销售处方药必须开具，</w:t>
      </w:r>
      <w:r>
        <w:rPr>
          <w:rFonts w:hint="eastAsia" w:ascii="宋体" w:hAnsi="宋体" w:eastAsia="宋体" w:cs="宋体"/>
          <w:b w:val="0"/>
          <w:bCs/>
          <w:i w:val="0"/>
          <w:color w:val="000000"/>
          <w:kern w:val="0"/>
          <w:sz w:val="28"/>
          <w:szCs w:val="28"/>
          <w:highlight w:val="none"/>
          <w:u w:val="none"/>
          <w:lang w:val="en-US" w:eastAsia="zh-CN" w:bidi="ar"/>
        </w:rPr>
        <w:t>并经执业药师审核</w:t>
      </w:r>
      <w:r>
        <w:rPr>
          <w:rFonts w:hint="eastAsia" w:ascii="宋体" w:hAnsi="宋体" w:eastAsia="宋体" w:cs="宋体"/>
          <w:b w:val="0"/>
          <w:bCs w:val="0"/>
          <w:i w:val="0"/>
          <w:color w:val="000000"/>
          <w:kern w:val="0"/>
          <w:sz w:val="28"/>
          <w:szCs w:val="28"/>
          <w:highlight w:val="none"/>
          <w:u w:val="none"/>
          <w:lang w:val="en-US" w:eastAsia="zh-CN" w:bidi="ar"/>
        </w:rPr>
        <w:t>后销售。门店不得出现空白纸质处方，不得代顾客开具电子处方和纸质处方。</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right="0" w:rightChars="0" w:firstLine="560"/>
        <w:textAlignment w:val="auto"/>
        <w:rPr>
          <w:rFonts w:hint="eastAsia" w:ascii="宋体" w:hAnsi="宋体" w:cs="宋体"/>
          <w:b w:val="0"/>
          <w:bCs w:val="0"/>
          <w:color w:val="000000"/>
          <w:kern w:val="0"/>
          <w:sz w:val="28"/>
          <w:szCs w:val="28"/>
          <w:highlight w:val="none"/>
          <w:lang w:val="en-US" w:eastAsia="zh-CN"/>
        </w:rPr>
      </w:pP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lang w:eastAsia="zh-CN"/>
        </w:rPr>
        <w:t>、不得陈列、销售过期失效商品，门店</w:t>
      </w:r>
      <w:r>
        <w:rPr>
          <w:rFonts w:hint="eastAsia" w:ascii="宋体" w:hAnsi="宋体" w:eastAsia="宋体" w:cs="宋体"/>
          <w:sz w:val="28"/>
          <w:szCs w:val="28"/>
          <w:highlight w:val="none"/>
          <w:lang w:val="en-US" w:eastAsia="zh-CN"/>
        </w:rPr>
        <w:t>休息区不得存放药品，</w:t>
      </w:r>
      <w:r>
        <w:rPr>
          <w:rFonts w:hint="eastAsia" w:ascii="宋体" w:hAnsi="宋体" w:eastAsia="宋体" w:cs="宋体"/>
          <w:sz w:val="28"/>
          <w:szCs w:val="28"/>
          <w:highlight w:val="none"/>
          <w:lang w:eastAsia="zh-CN"/>
        </w:rPr>
        <w:t>整件商品不得直接放在地上。</w:t>
      </w:r>
    </w:p>
    <w:p>
      <w:pPr>
        <w:ind w:firstLine="560" w:firstLineChars="200"/>
        <w:jc w:val="left"/>
        <w:rPr>
          <w:rFonts w:hint="eastAsia" w:ascii="宋体" w:hAnsi="宋体" w:cs="宋体"/>
          <w:b w:val="0"/>
          <w:bCs w:val="0"/>
          <w:color w:val="000000"/>
          <w:kern w:val="0"/>
          <w:sz w:val="28"/>
          <w:szCs w:val="28"/>
          <w:highlight w:val="none"/>
          <w:lang w:val="en-US" w:eastAsia="zh-CN"/>
        </w:rPr>
      </w:pPr>
      <w:r>
        <w:rPr>
          <w:rFonts w:hint="eastAsia" w:ascii="宋体" w:hAnsi="宋体" w:cs="宋体"/>
          <w:b w:val="0"/>
          <w:bCs w:val="0"/>
          <w:color w:val="000000"/>
          <w:kern w:val="0"/>
          <w:sz w:val="28"/>
          <w:szCs w:val="28"/>
          <w:highlight w:val="none"/>
          <w:lang w:val="en-US" w:eastAsia="zh-CN"/>
        </w:rPr>
        <w:t>10、医保大额销售要做好登记，是代购的，还要登记代购人身份信息。</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right="0" w:rightChars="0" w:firstLine="560"/>
        <w:textAlignment w:val="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lang w:val="en-US" w:eastAsia="zh-CN"/>
        </w:rPr>
        <w:t>11</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认真防范、处置重大事件和突发事件</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一旦发现质量问题应立即停售，</w:t>
      </w:r>
      <w:r>
        <w:rPr>
          <w:rFonts w:hint="eastAsia" w:ascii="宋体" w:hAnsi="宋体" w:eastAsia="宋体" w:cs="宋体"/>
          <w:sz w:val="28"/>
          <w:szCs w:val="28"/>
          <w:highlight w:val="none"/>
        </w:rPr>
        <w:t>遇到商品质量事故</w:t>
      </w:r>
      <w:r>
        <w:rPr>
          <w:rFonts w:hint="eastAsia" w:ascii="宋体" w:hAnsi="宋体" w:eastAsia="宋体" w:cs="宋体"/>
          <w:sz w:val="28"/>
          <w:szCs w:val="28"/>
          <w:highlight w:val="none"/>
          <w:lang w:eastAsia="zh-CN"/>
        </w:rPr>
        <w:t>、顾客投诉，请</w:t>
      </w:r>
      <w:r>
        <w:rPr>
          <w:rFonts w:hint="eastAsia" w:ascii="宋体" w:hAnsi="宋体" w:eastAsia="宋体" w:cs="宋体"/>
          <w:sz w:val="28"/>
          <w:szCs w:val="28"/>
          <w:highlight w:val="none"/>
        </w:rPr>
        <w:t>及时上报质管部</w:t>
      </w:r>
      <w:r>
        <w:rPr>
          <w:rFonts w:hint="eastAsia" w:ascii="宋体" w:hAnsi="宋体" w:eastAsia="宋体" w:cs="宋体"/>
          <w:sz w:val="28"/>
          <w:szCs w:val="28"/>
          <w:highlight w:val="none"/>
          <w:lang w:eastAsia="zh-CN"/>
        </w:rPr>
        <w:t>和相关部门</w:t>
      </w:r>
      <w:r>
        <w:rPr>
          <w:rFonts w:hint="eastAsia" w:ascii="宋体" w:hAnsi="宋体" w:eastAsia="宋体" w:cs="宋体"/>
          <w:sz w:val="28"/>
          <w:szCs w:val="28"/>
          <w:highlight w:val="none"/>
        </w:rPr>
        <w:t>妥善处置。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right="0" w:rightChars="0" w:firstLine="56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right="0" w:rightChars="0" w:firstLine="560"/>
        <w:textAlignment w:val="auto"/>
        <w:rPr>
          <w:rFonts w:hint="eastAsia" w:ascii="宋体" w:hAnsi="宋体" w:eastAsia="宋体" w:cs="宋体"/>
          <w:sz w:val="28"/>
          <w:szCs w:val="28"/>
          <w:highlight w:val="none"/>
          <w:lang w:eastAsia="zh-CN"/>
        </w:rPr>
      </w:pP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right="0" w:rightChars="0" w:firstLine="560"/>
        <w:textAlignment w:val="auto"/>
        <w:rPr>
          <w:rFonts w:hint="eastAsia" w:ascii="宋体" w:hAnsi="宋体" w:eastAsia="宋体" w:cs="宋体"/>
          <w:sz w:val="28"/>
          <w:szCs w:val="28"/>
          <w:highlight w:val="none"/>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3360" w:firstLineChars="1200"/>
        <w:jc w:val="both"/>
        <w:textAlignment w:val="auto"/>
        <w:outlineLvl w:val="9"/>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四川太极大药房连锁有限公司质管部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60" w:lineRule="exact"/>
        <w:ind w:right="0" w:rightChars="0" w:firstLine="5493" w:firstLineChars="1962"/>
        <w:textAlignment w:val="auto"/>
        <w:rPr>
          <w:rFonts w:hint="eastAsia" w:ascii="宋体" w:hAnsi="宋体" w:eastAsia="宋体" w:cs="宋体"/>
          <w:sz w:val="28"/>
          <w:szCs w:val="28"/>
          <w:highlight w:val="none"/>
          <w:lang w:eastAsia="zh-CN"/>
        </w:rPr>
      </w:pPr>
      <w:r>
        <w:rPr>
          <w:rFonts w:hint="eastAsia" w:ascii="宋体" w:hAnsi="宋体" w:eastAsia="宋体" w:cs="宋体"/>
          <w:color w:val="000000"/>
          <w:kern w:val="0"/>
          <w:sz w:val="28"/>
          <w:szCs w:val="28"/>
          <w:highlight w:val="none"/>
          <w:lang w:val="en-US" w:eastAsia="zh-CN"/>
        </w:rPr>
        <w:t>2020年12月29日</w:t>
      </w:r>
    </w:p>
    <w:p>
      <w:pPr>
        <w:keepNext w:val="0"/>
        <w:keepLines w:val="0"/>
        <w:pageBreakBefore w:val="0"/>
        <w:widowControl w:val="0"/>
        <w:wordWrap/>
        <w:topLinePunct w:val="0"/>
        <w:bidi w:val="0"/>
        <w:spacing w:line="560" w:lineRule="exact"/>
        <w:textAlignment w:val="auto"/>
        <w:rPr>
          <w:rFonts w:hint="eastAsia"/>
          <w:sz w:val="28"/>
          <w:szCs w:val="28"/>
          <w:highlight w:val="none"/>
        </w:rPr>
      </w:pPr>
    </w:p>
    <w:p>
      <w:pPr>
        <w:keepNext w:val="0"/>
        <w:keepLines w:val="0"/>
        <w:pageBreakBefore w:val="0"/>
        <w:wordWrap/>
        <w:topLinePunct w:val="0"/>
        <w:bidi w:val="0"/>
        <w:spacing w:line="560" w:lineRule="exact"/>
        <w:textAlignment w:val="auto"/>
        <w:rPr>
          <w:rFonts w:hint="eastAsia" w:ascii="宋体" w:hAnsi="宋体" w:eastAsia="宋体" w:cs="宋体"/>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F6FF6"/>
    <w:rsid w:val="08500EE7"/>
    <w:rsid w:val="0C3D2261"/>
    <w:rsid w:val="0FB37DDF"/>
    <w:rsid w:val="105B704C"/>
    <w:rsid w:val="112439A2"/>
    <w:rsid w:val="12621F68"/>
    <w:rsid w:val="13B0765E"/>
    <w:rsid w:val="145A564F"/>
    <w:rsid w:val="18760DA8"/>
    <w:rsid w:val="1A177AC0"/>
    <w:rsid w:val="1CE62EFD"/>
    <w:rsid w:val="1E846BAD"/>
    <w:rsid w:val="1FEA5AE6"/>
    <w:rsid w:val="25B220A8"/>
    <w:rsid w:val="2689777F"/>
    <w:rsid w:val="26971FDE"/>
    <w:rsid w:val="29030C61"/>
    <w:rsid w:val="30B27254"/>
    <w:rsid w:val="311E0370"/>
    <w:rsid w:val="31F2773C"/>
    <w:rsid w:val="3EB025D4"/>
    <w:rsid w:val="3F6C0495"/>
    <w:rsid w:val="414E575F"/>
    <w:rsid w:val="41D237C6"/>
    <w:rsid w:val="4A054E35"/>
    <w:rsid w:val="4BC80A24"/>
    <w:rsid w:val="504E3133"/>
    <w:rsid w:val="511D1102"/>
    <w:rsid w:val="51EE127E"/>
    <w:rsid w:val="559101F4"/>
    <w:rsid w:val="5CE12E4B"/>
    <w:rsid w:val="5D5046E2"/>
    <w:rsid w:val="5DE76F04"/>
    <w:rsid w:val="5E397AFF"/>
    <w:rsid w:val="5E786894"/>
    <w:rsid w:val="5F6F461B"/>
    <w:rsid w:val="608B275D"/>
    <w:rsid w:val="66407FF8"/>
    <w:rsid w:val="690123E7"/>
    <w:rsid w:val="6B960855"/>
    <w:rsid w:val="6BD4327E"/>
    <w:rsid w:val="6DE153D4"/>
    <w:rsid w:val="6DF4539A"/>
    <w:rsid w:val="74041169"/>
    <w:rsid w:val="744E7295"/>
    <w:rsid w:val="76EE4627"/>
    <w:rsid w:val="7A676DC2"/>
    <w:rsid w:val="7C65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22"/>
    <w:rPr>
      <w:b/>
      <w:bCs/>
    </w:rPr>
  </w:style>
  <w:style w:type="character" w:styleId="6">
    <w:name w:val="Emphasis"/>
    <w:basedOn w:val="4"/>
    <w:qFormat/>
    <w:uiPriority w:val="20"/>
    <w:rPr>
      <w:color w:val="CC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2020-12-29T06:31:13Z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