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贾兰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张艳蓉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EFB030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110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2020-12-01T00:58:32Z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