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近期成都市医保局专项检查的重点和要点</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最近成都市医保局全面对成都市所有药店开展检查，他们的任务是在短时间内、加班加点完成所有药店的检查。检查的重点和要点如下：</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抽查药品和医疗器械的购销存比率（某一品种的购销存比率=（本期销售数量+期末结存数量）÷（期初结存数量+本期购进数量）×100%）。按协议规定，购销存比率应控制在95%-105%，超出这个区间，就属于购销存率超范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2、抽查社保系统中上传的购药药品明细与实际购药药品明细须保持一致，包括品种、数量、金额。比如一位顾客购买5个药品，社保系统中上传时，不能只上传4个。</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3、要求不能摆放和销售普通食品，也就是预包装食品。食品类中，只能销售保健食品。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4、抽查是否有违规刷卡行为，如保健食品、化妆品等是否刷卡销售。</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5、检查执业药师是否在职在岗，或者30分钟内是否赶到店内。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请成都市各药店高度重视，出现以上行为时，一般会被停卡或经济处罚。建议大家做好以下工作：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1、不能有实物与电脑数据不符的情况，如果借调货、必须随时处理，也不允许有顾客购买后、不下账、不拿实物的情况；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2、不能有违规刷卡情况，如保健食品刷卡、偷换品种刷卡；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3、保证社保系统上传明细一致，销售品种和医保下账保证品种、数量、价格一致；</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4、普通食品全部下架；</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5、保证执业药师在职在岗，或者在30分钟内能够赶到店内。</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成都市医药商业协会</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药品流通安全委员会</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2019年9月27日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22"/>
    <w:rsid w:val="001674FF"/>
    <w:rsid w:val="002504C0"/>
    <w:rsid w:val="00A51F22"/>
    <w:rsid w:val="00DE61BF"/>
    <w:rsid w:val="00FD4E4B"/>
    <w:rsid w:val="07FC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518</Characters>
  <Lines>4</Lines>
  <Paragraphs>1</Paragraphs>
  <TotalTime>26</TotalTime>
  <ScaleCrop>false</ScaleCrop>
  <LinksUpToDate>false</LinksUpToDate>
  <CharactersWithSpaces>607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2019-09-27T11:55:00Z</dcterms:created>
  <dc:creator>HQR</dc:creator>
  <cp:lastModifiedBy>明登银</cp:lastModifiedBy>
  <dcterms:modified xsi:type="dcterms:W3CDTF">2019-09-29T06:28:44Z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