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销售下滑原因及整改措施</w:t>
      </w:r>
    </w:p>
    <w:p>
      <w:pPr>
        <w:jc w:val="both"/>
        <w:rPr>
          <w:rFonts w:hint="eastAsia"/>
          <w:b/>
          <w:bCs/>
          <w:sz w:val="28"/>
          <w:szCs w:val="28"/>
          <w:lang w:val="en-US" w:eastAsia="zh-CN"/>
        </w:rPr>
      </w:pPr>
      <w:r>
        <w:rPr>
          <w:rFonts w:hint="eastAsia"/>
          <w:b/>
          <w:bCs/>
          <w:sz w:val="28"/>
          <w:szCs w:val="28"/>
          <w:lang w:val="en-US" w:eastAsia="zh-CN"/>
        </w:rPr>
        <w:t>销售总结：</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41"/>
        <w:gridCol w:w="16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41"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时间</w:t>
            </w:r>
          </w:p>
        </w:tc>
        <w:tc>
          <w:tcPr>
            <w:tcW w:w="1619"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销售（元）</w:t>
            </w:r>
          </w:p>
        </w:tc>
        <w:tc>
          <w:tcPr>
            <w:tcW w:w="2131" w:type="dxa"/>
          </w:tcPr>
          <w:p>
            <w:pPr>
              <w:jc w:val="both"/>
              <w:rPr>
                <w:rFonts w:hint="eastAsia"/>
                <w:b/>
                <w:bCs/>
                <w:sz w:val="28"/>
                <w:szCs w:val="28"/>
                <w:vertAlign w:val="baseline"/>
                <w:lang w:val="en-US" w:eastAsia="zh-CN"/>
              </w:rPr>
            </w:pPr>
            <w:r>
              <w:rPr>
                <w:rFonts w:hint="eastAsia"/>
                <w:b/>
                <w:bCs/>
                <w:sz w:val="28"/>
                <w:szCs w:val="28"/>
                <w:vertAlign w:val="baseline"/>
                <w:lang w:val="en-US" w:eastAsia="zh-CN"/>
              </w:rPr>
              <w:t>交易笔数（笔）</w:t>
            </w:r>
          </w:p>
        </w:tc>
        <w:tc>
          <w:tcPr>
            <w:tcW w:w="2131"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毛利额（元）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41"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2018.6.26-2018.7.25</w:t>
            </w:r>
          </w:p>
        </w:tc>
        <w:tc>
          <w:tcPr>
            <w:tcW w:w="1619"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87208.93</w:t>
            </w:r>
          </w:p>
        </w:tc>
        <w:tc>
          <w:tcPr>
            <w:tcW w:w="2131"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1478</w:t>
            </w:r>
          </w:p>
        </w:tc>
        <w:tc>
          <w:tcPr>
            <w:tcW w:w="2131"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26101.23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41"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2019.6.26-2019.7.25</w:t>
            </w:r>
          </w:p>
        </w:tc>
        <w:tc>
          <w:tcPr>
            <w:tcW w:w="1619"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75944.44</w:t>
            </w:r>
          </w:p>
        </w:tc>
        <w:tc>
          <w:tcPr>
            <w:tcW w:w="2131"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1395</w:t>
            </w:r>
          </w:p>
        </w:tc>
        <w:tc>
          <w:tcPr>
            <w:tcW w:w="2131" w:type="dxa"/>
          </w:tcPr>
          <w:p>
            <w:pPr>
              <w:jc w:val="both"/>
              <w:rPr>
                <w:rFonts w:hint="default"/>
                <w:b/>
                <w:bCs/>
                <w:sz w:val="28"/>
                <w:szCs w:val="28"/>
                <w:vertAlign w:val="baseline"/>
                <w:lang w:val="en-US" w:eastAsia="zh-CN"/>
              </w:rPr>
            </w:pPr>
            <w:r>
              <w:rPr>
                <w:rFonts w:hint="eastAsia"/>
                <w:b/>
                <w:bCs/>
                <w:sz w:val="28"/>
                <w:szCs w:val="28"/>
                <w:vertAlign w:val="baseline"/>
                <w:lang w:val="en-US" w:eastAsia="zh-CN"/>
              </w:rPr>
              <w:t>21185.10</w:t>
            </w:r>
          </w:p>
        </w:tc>
      </w:tr>
    </w:tbl>
    <w:p>
      <w:pPr>
        <w:jc w:val="both"/>
        <w:rPr>
          <w:rFonts w:hint="eastAsia"/>
          <w:sz w:val="28"/>
          <w:szCs w:val="28"/>
          <w:lang w:val="en-US" w:eastAsia="zh-CN"/>
        </w:rPr>
      </w:pPr>
      <w:bookmarkStart w:id="0" w:name="_GoBack"/>
      <w:bookmarkEnd w:id="0"/>
    </w:p>
    <w:p>
      <w:pPr>
        <w:ind w:firstLine="560" w:firstLineChars="200"/>
        <w:jc w:val="both"/>
        <w:rPr>
          <w:rFonts w:hint="eastAsia"/>
          <w:sz w:val="28"/>
          <w:szCs w:val="28"/>
          <w:lang w:val="en-US" w:eastAsia="zh-CN"/>
        </w:rPr>
      </w:pPr>
      <w:r>
        <w:rPr>
          <w:rFonts w:hint="eastAsia"/>
          <w:sz w:val="28"/>
          <w:szCs w:val="28"/>
          <w:lang w:val="en-US" w:eastAsia="zh-CN"/>
        </w:rPr>
        <w:t>对比同期销售下滑了11264-49元，下滑率为-12.9%：交易笔数下滑了83笔，下滑率为5.6%，毛利额下降4916.13元。下降了18.83%。</w:t>
      </w:r>
    </w:p>
    <w:p>
      <w:pPr>
        <w:jc w:val="both"/>
        <w:rPr>
          <w:rFonts w:hint="eastAsia"/>
          <w:b/>
          <w:bCs/>
          <w:sz w:val="28"/>
          <w:szCs w:val="28"/>
          <w:lang w:val="en-US" w:eastAsia="zh-CN"/>
        </w:rPr>
      </w:pPr>
      <w:r>
        <w:rPr>
          <w:rFonts w:hint="eastAsia"/>
          <w:b/>
          <w:bCs/>
          <w:sz w:val="28"/>
          <w:szCs w:val="28"/>
          <w:lang w:val="en-US" w:eastAsia="zh-CN"/>
        </w:rPr>
        <w:t>下滑原因：</w:t>
      </w:r>
    </w:p>
    <w:p>
      <w:pPr>
        <w:numPr>
          <w:numId w:val="0"/>
        </w:numPr>
        <w:ind w:firstLine="560" w:firstLineChars="200"/>
        <w:jc w:val="both"/>
        <w:rPr>
          <w:rFonts w:hint="eastAsia"/>
          <w:sz w:val="28"/>
          <w:szCs w:val="28"/>
          <w:lang w:val="en-US" w:eastAsia="zh-CN"/>
        </w:rPr>
      </w:pPr>
      <w:r>
        <w:rPr>
          <w:rFonts w:hint="eastAsia"/>
          <w:sz w:val="28"/>
          <w:szCs w:val="28"/>
          <w:lang w:val="en-US" w:eastAsia="zh-CN"/>
        </w:rPr>
        <w:t>1.我们对面新开了两家药房，且有家为24小时营业。周边私人药房较多。</w:t>
      </w:r>
    </w:p>
    <w:p>
      <w:pPr>
        <w:numPr>
          <w:numId w:val="0"/>
        </w:numPr>
        <w:ind w:firstLine="560" w:firstLineChars="200"/>
        <w:jc w:val="both"/>
        <w:rPr>
          <w:rFonts w:hint="eastAsia"/>
          <w:sz w:val="28"/>
          <w:szCs w:val="28"/>
          <w:lang w:val="en-US" w:eastAsia="zh-CN"/>
        </w:rPr>
      </w:pPr>
      <w:r>
        <w:rPr>
          <w:rFonts w:hint="eastAsia"/>
          <w:sz w:val="28"/>
          <w:szCs w:val="28"/>
          <w:lang w:val="en-US" w:eastAsia="zh-CN"/>
        </w:rPr>
        <w:t>2.周边药房都能刷异地卡，前期有很多顾客问，但我们目前未开通，流失了部分客流，导致客流下降。</w:t>
      </w:r>
    </w:p>
    <w:p>
      <w:pPr>
        <w:numPr>
          <w:numId w:val="0"/>
        </w:numPr>
        <w:ind w:firstLine="560" w:firstLineChars="200"/>
        <w:jc w:val="both"/>
        <w:rPr>
          <w:rFonts w:hint="default"/>
          <w:sz w:val="28"/>
          <w:szCs w:val="28"/>
          <w:lang w:val="en-US" w:eastAsia="zh-CN"/>
        </w:rPr>
      </w:pPr>
      <w:r>
        <w:rPr>
          <w:rFonts w:hint="eastAsia"/>
          <w:sz w:val="28"/>
          <w:szCs w:val="28"/>
          <w:lang w:val="en-US" w:eastAsia="zh-CN"/>
        </w:rPr>
        <w:t>3.人员变动大，实习小妹销售能力及专业相对不足。</w:t>
      </w:r>
    </w:p>
    <w:p>
      <w:pPr>
        <w:numPr>
          <w:numId w:val="0"/>
        </w:numPr>
        <w:jc w:val="both"/>
        <w:rPr>
          <w:rFonts w:hint="eastAsia"/>
          <w:b/>
          <w:bCs/>
          <w:sz w:val="28"/>
          <w:szCs w:val="28"/>
          <w:lang w:val="en-US" w:eastAsia="zh-CN"/>
        </w:rPr>
      </w:pPr>
      <w:r>
        <w:rPr>
          <w:rFonts w:hint="eastAsia"/>
          <w:b/>
          <w:bCs/>
          <w:sz w:val="28"/>
          <w:szCs w:val="28"/>
          <w:lang w:val="en-US" w:eastAsia="zh-CN"/>
        </w:rPr>
        <w:t>整改措施：</w:t>
      </w:r>
    </w:p>
    <w:p>
      <w:pPr>
        <w:numPr>
          <w:numId w:val="0"/>
        </w:numPr>
        <w:ind w:firstLine="560" w:firstLineChars="200"/>
        <w:jc w:val="both"/>
        <w:rPr>
          <w:rFonts w:hint="eastAsia"/>
          <w:sz w:val="28"/>
          <w:szCs w:val="28"/>
          <w:lang w:val="en-US" w:eastAsia="zh-CN"/>
        </w:rPr>
      </w:pPr>
      <w:r>
        <w:rPr>
          <w:rFonts w:hint="eastAsia"/>
          <w:sz w:val="28"/>
          <w:szCs w:val="28"/>
          <w:lang w:val="en-US" w:eastAsia="zh-CN"/>
        </w:rPr>
        <w:t>1.观察了解竞争对手价格，及时做好价格反馈，对竞争较大的药做特价申请。</w:t>
      </w:r>
    </w:p>
    <w:p>
      <w:pPr>
        <w:numPr>
          <w:numId w:val="0"/>
        </w:numPr>
        <w:ind w:firstLine="560" w:firstLineChars="200"/>
        <w:jc w:val="both"/>
        <w:rPr>
          <w:rFonts w:hint="default"/>
          <w:sz w:val="28"/>
          <w:szCs w:val="28"/>
          <w:lang w:val="en-US" w:eastAsia="zh-CN"/>
        </w:rPr>
      </w:pPr>
      <w:r>
        <w:rPr>
          <w:rFonts w:hint="eastAsia"/>
          <w:sz w:val="28"/>
          <w:szCs w:val="28"/>
          <w:lang w:val="en-US" w:eastAsia="zh-CN"/>
        </w:rPr>
        <w:t>2.做好客情服务，稳定客流。</w:t>
      </w:r>
    </w:p>
    <w:p>
      <w:pPr>
        <w:numPr>
          <w:numId w:val="0"/>
        </w:numPr>
        <w:ind w:firstLine="560" w:firstLineChars="200"/>
        <w:jc w:val="both"/>
        <w:rPr>
          <w:rFonts w:hint="default"/>
          <w:sz w:val="28"/>
          <w:szCs w:val="28"/>
          <w:lang w:val="en-US" w:eastAsia="zh-CN"/>
        </w:rPr>
      </w:pPr>
      <w:r>
        <w:rPr>
          <w:rFonts w:hint="eastAsia"/>
          <w:sz w:val="28"/>
          <w:szCs w:val="28"/>
          <w:lang w:val="en-US" w:eastAsia="zh-CN"/>
        </w:rPr>
        <w:t>3.提高专业知识及销售能力，多向卖得好的门店及店员学习销售经验,希望每个月的重点品种公司可以提前组织安排销售较好的同事分享销售经验及技巧。</w:t>
      </w:r>
    </w:p>
    <w:p>
      <w:pPr>
        <w:jc w:val="both"/>
        <w:rPr>
          <w:rFonts w:hint="default"/>
          <w:sz w:val="28"/>
          <w:szCs w:val="28"/>
          <w:lang w:val="en-US" w:eastAsia="zh-CN"/>
        </w:rPr>
      </w:pPr>
    </w:p>
    <w:p>
      <w:p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63883"/>
    <w:rsid w:val="13F7416E"/>
    <w:rsid w:val="39863883"/>
    <w:rsid w:val="3E6B0996"/>
    <w:rsid w:val="5C400E69"/>
    <w:rsid w:val="78D9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2019-07-31T08:44:00Z</dcterms:created>
  <dc:creator>Administrator</dc:creator>
  <cp:lastModifiedBy>Administrator</cp:lastModifiedBy>
  <dcterms:modified xsi:type="dcterms:W3CDTF">2019-07-31T09:30:50Z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