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customXml/itemProps2.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tbl>
      <w:tblPr>
        <w:tblStyle w:val="4"/>
        <w:tblpPr w:leftFromText="180" w:rightFromText="180" w:vertAnchor="page" w:horzAnchor="page" w:tblpX="345" w:tblpY="993"/>
        <w:tblOverlap w:val="never"/>
        <w:tblW w:w="11013" w:type="dxa"/>
        <w:tblInd w:w="0" w:type="dxa"/>
        <w:tblLayout w:type="fixed"/>
        <w:tblCellMar>
          <w:top w:w="15" w:type="dxa"/>
          <w:left w:w="15" w:type="dxa"/>
          <w:bottom w:w="15" w:type="dxa"/>
          <w:right w:w="15" w:type="dxa"/>
        </w:tblCellMar>
      </w:tblPr>
      <w:tblGrid>
        <w:gridCol w:w="1289"/>
        <w:gridCol w:w="676"/>
        <w:gridCol w:w="6817"/>
        <w:gridCol w:w="585"/>
        <w:gridCol w:w="645"/>
        <w:gridCol w:w="612"/>
        <w:gridCol w:w="389"/>
      </w:tblGrid>
      <w:tr>
        <w:tblPrEx>
          <w:tblLayout w:type="fixed"/>
          <w:tblCellMar>
            <w:top w:w="15" w:type="dxa"/>
            <w:left w:w="15" w:type="dxa"/>
            <w:bottom w:w="15" w:type="dxa"/>
            <w:right w:w="15" w:type="dxa"/>
          </w:tblCellMar>
        </w:tblPrEx>
        <w:trPr>
          <w:gridAfter w:val="1"/>
          <w:wAfter w:w="389" w:type="dxa"/>
          <w:trHeight w:val="90" w:hRule="atLeast"/>
        </w:trPr>
        <w:tc>
          <w:tcPr>
            <w:tcW w:w="10624" w:type="dxa"/>
            <w:gridSpan w:val="6"/>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u w:val="single"/>
              </w:rPr>
              <w:t>2019</w:t>
            </w:r>
            <w:r>
              <w:rPr>
                <w:rFonts w:hint="eastAsia" w:ascii="仿宋_GB2312" w:hAnsi="仿宋_GB2312" w:eastAsia="仿宋_GB2312" w:cs="仿宋_GB2312"/>
                <w:b/>
                <w:color w:val="000000"/>
                <w:kern w:val="0"/>
                <w:sz w:val="18"/>
                <w:szCs w:val="18"/>
              </w:rPr>
              <w:t>年05月片区主管绩效考核表</w:t>
            </w:r>
          </w:p>
        </w:tc>
      </w:tr>
      <w:tr>
        <w:tblPrEx>
          <w:tblLayout w:type="fixed"/>
          <w:tblCellMar>
            <w:top w:w="15" w:type="dxa"/>
            <w:left w:w="15" w:type="dxa"/>
            <w:bottom w:w="15" w:type="dxa"/>
            <w:right w:w="15" w:type="dxa"/>
          </w:tblCellMar>
        </w:tblPrEx>
        <w:trPr>
          <w:gridAfter w:val="1"/>
          <w:wAfter w:w="389" w:type="dxa"/>
          <w:trHeight w:val="285" w:hRule="atLeast"/>
        </w:trPr>
        <w:tc>
          <w:tcPr>
            <w:tcW w:w="10624" w:type="dxa"/>
            <w:gridSpan w:val="6"/>
            <w:vAlign w:val="center"/>
          </w:tcPr>
          <w:p>
            <w:pPr>
              <w:widowControl/>
              <w:jc w:val="left"/>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片区主管：                          时间：   年  月 日到  年  月 日</w:t>
            </w:r>
          </w:p>
        </w:tc>
      </w:tr>
      <w:tr>
        <w:tblPrEx>
          <w:tblLayout w:type="fixed"/>
          <w:tblCellMar>
            <w:top w:w="15" w:type="dxa"/>
            <w:left w:w="15" w:type="dxa"/>
            <w:bottom w:w="15" w:type="dxa"/>
            <w:right w:w="15" w:type="dxa"/>
          </w:tblCellMar>
        </w:tblPrEx>
        <w:trPr>
          <w:trHeight w:val="339" w:hRule="atLeast"/>
        </w:trPr>
        <w:tc>
          <w:tcPr>
            <w:tcW w:w="1289"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指标维度</w:t>
            </w:r>
          </w:p>
        </w:tc>
        <w:tc>
          <w:tcPr>
            <w:tcW w:w="676"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指标名称</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sz w:val="18"/>
                <w:szCs w:val="18"/>
              </w:rPr>
            </w:pPr>
            <w:r>
              <w:rPr>
                <w:rFonts w:hint="eastAsia" w:ascii="仿宋_GB2312" w:hAnsi="仿宋_GB2312" w:eastAsia="仿宋_GB2312" w:cs="仿宋_GB2312"/>
                <w:b/>
                <w:kern w:val="0"/>
                <w:sz w:val="18"/>
                <w:szCs w:val="18"/>
              </w:rPr>
              <w:t>指标说明与计算方式</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权重</w:t>
            </w:r>
          </w:p>
        </w:tc>
        <w:tc>
          <w:tcPr>
            <w:tcW w:w="64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得分</w:t>
            </w: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b/>
                <w:color w:val="000000"/>
                <w:sz w:val="18"/>
                <w:szCs w:val="18"/>
              </w:rPr>
            </w:pPr>
            <w:r>
              <w:rPr>
                <w:rFonts w:hint="eastAsia" w:ascii="仿宋_GB2312" w:hAnsi="仿宋_GB2312" w:eastAsia="仿宋_GB2312" w:cs="仿宋_GB2312"/>
                <w:b/>
                <w:color w:val="000000"/>
                <w:kern w:val="0"/>
                <w:sz w:val="18"/>
                <w:szCs w:val="18"/>
              </w:rPr>
              <w:t>考核来源</w:t>
            </w:r>
          </w:p>
        </w:tc>
      </w:tr>
      <w:tr>
        <w:tblPrEx>
          <w:tblLayout w:type="fixed"/>
          <w:tblCellMar>
            <w:top w:w="15" w:type="dxa"/>
            <w:left w:w="15" w:type="dxa"/>
            <w:bottom w:w="15" w:type="dxa"/>
            <w:right w:w="15" w:type="dxa"/>
          </w:tblCellMar>
        </w:tblPrEx>
        <w:trPr>
          <w:trHeight w:val="831" w:hRule="atLeast"/>
        </w:trPr>
        <w:tc>
          <w:tcPr>
            <w:tcW w:w="1289" w:type="dxa"/>
            <w:vMerge w:val="restart"/>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工作</w:t>
            </w:r>
          </w:p>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目标</w:t>
            </w:r>
          </w:p>
        </w:tc>
        <w:tc>
          <w:tcPr>
            <w:tcW w:w="676" w:type="dxa"/>
            <w:tcBorders>
              <w:top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会员管理</w:t>
            </w:r>
          </w:p>
        </w:tc>
        <w:tc>
          <w:tcPr>
            <w:tcW w:w="6817" w:type="dxa"/>
            <w:tcBorders>
              <w:top w:val="single" w:color="000000" w:sz="4" w:space="0"/>
              <w:left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1：片区新增会员完成情况，未完成0分。（2分）2：片区会员笔数占比达到45%以上（3分）每减少一个百分点扣一分！医院门店考核环比上升，一家门店下降扣一分。</w:t>
            </w:r>
          </w:p>
        </w:tc>
        <w:tc>
          <w:tcPr>
            <w:tcW w:w="585" w:type="dxa"/>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kern w:val="0"/>
                <w:sz w:val="18"/>
                <w:szCs w:val="18"/>
              </w:rPr>
              <w:t>5</w:t>
            </w:r>
          </w:p>
        </w:tc>
        <w:tc>
          <w:tcPr>
            <w:tcW w:w="645" w:type="dxa"/>
            <w:tcBorders>
              <w:top w:val="single" w:color="000000" w:sz="4" w:space="0"/>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Layout w:type="fixed"/>
          <w:tblCellMar>
            <w:top w:w="15" w:type="dxa"/>
            <w:left w:w="15" w:type="dxa"/>
            <w:bottom w:w="15" w:type="dxa"/>
            <w:right w:w="15" w:type="dxa"/>
          </w:tblCellMar>
        </w:tblPrEx>
        <w:trPr>
          <w:trHeight w:val="634"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top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质量事故</w:t>
            </w:r>
          </w:p>
        </w:tc>
        <w:tc>
          <w:tcPr>
            <w:tcW w:w="6817" w:type="dxa"/>
            <w:tcBorders>
              <w:top w:val="single" w:color="000000" w:sz="4" w:space="0"/>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全月无质量安全事故，如发生一起质量事故；门店检查有过期药品陈列（该项目不得分）（一个月效期未下柜品种）应下柜，发生一起扣2分</w:t>
            </w:r>
          </w:p>
        </w:tc>
        <w:tc>
          <w:tcPr>
            <w:tcW w:w="585" w:type="dxa"/>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645" w:type="dxa"/>
            <w:tcBorders>
              <w:top w:val="single" w:color="000000" w:sz="4" w:space="0"/>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000000" w:sz="4" w:space="0"/>
              <w:left w:val="single" w:color="000000" w:sz="4" w:space="0"/>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质管部</w:t>
            </w:r>
          </w:p>
        </w:tc>
      </w:tr>
      <w:tr>
        <w:tblPrEx>
          <w:tblLayout w:type="fixed"/>
          <w:tblCellMar>
            <w:top w:w="15" w:type="dxa"/>
            <w:left w:w="15" w:type="dxa"/>
            <w:bottom w:w="15" w:type="dxa"/>
            <w:right w:w="15" w:type="dxa"/>
          </w:tblCellMar>
        </w:tblPrEx>
        <w:trPr>
          <w:trHeight w:val="657" w:hRule="atLeast"/>
        </w:trPr>
        <w:tc>
          <w:tcPr>
            <w:tcW w:w="1289" w:type="dxa"/>
            <w:vMerge w:val="continue"/>
            <w:tcBorders>
              <w:left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重大处罚含顾客投诉</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1：全月无顾客投诉。如当月有顾客投诉，每投诉一次该项目不得分。（3分）如涉及经济损失的，根据损失金额大小承担相应赔偿责任:2：营运部及公司其他部门发文涉及处罚事件（1分）</w:t>
            </w:r>
          </w:p>
        </w:tc>
        <w:tc>
          <w:tcPr>
            <w:tcW w:w="585" w:type="dxa"/>
            <w:tcBorders>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5</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营运部</w:t>
            </w:r>
          </w:p>
        </w:tc>
      </w:tr>
      <w:tr>
        <w:tblPrEx>
          <w:tblLayout w:type="fixed"/>
          <w:tblCellMar>
            <w:top w:w="15" w:type="dxa"/>
            <w:left w:w="15" w:type="dxa"/>
            <w:bottom w:w="15" w:type="dxa"/>
            <w:right w:w="15" w:type="dxa"/>
          </w:tblCellMar>
        </w:tblPrEx>
        <w:trPr>
          <w:trHeight w:val="1425" w:hRule="atLeast"/>
        </w:trPr>
        <w:tc>
          <w:tcPr>
            <w:tcW w:w="1289"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安全事故</w:t>
            </w:r>
          </w:p>
        </w:tc>
        <w:tc>
          <w:tcPr>
            <w:tcW w:w="6817"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全月无安全事故。如当月有一般安全事故发生一次，扣5分。如发生重大事故，此项为0分。安全事故涉及经济损失的，根据造成事故的原因和损失金额大小承担相应经济责任。依据当月巡店记录，每巡一家店必须有一次安全检查记录，发现隐患，必须督促整改。每少整一项扣2分，超过3项，为0分。</w:t>
            </w:r>
          </w:p>
        </w:tc>
        <w:tc>
          <w:tcPr>
            <w:tcW w:w="585" w:type="dxa"/>
            <w:tcBorders>
              <w:bottom w:val="single" w:color="000000" w:sz="4" w:space="0"/>
              <w:right w:val="single" w:color="000000" w:sz="4" w:space="0"/>
            </w:tcBorders>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6</w:t>
            </w:r>
          </w:p>
        </w:tc>
        <w:tc>
          <w:tcPr>
            <w:tcW w:w="645" w:type="dxa"/>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000000" w:sz="4" w:space="0"/>
              <w:right w:val="single" w:color="000000" w:sz="4" w:space="0"/>
            </w:tcBorders>
            <w:vAlign w:val="center"/>
          </w:tcPr>
          <w:p>
            <w:pPr>
              <w:jc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保卫部</w:t>
            </w:r>
          </w:p>
        </w:tc>
      </w:tr>
      <w:tr>
        <w:tblPrEx>
          <w:tblLayout w:type="fixed"/>
          <w:tblCellMar>
            <w:top w:w="15" w:type="dxa"/>
            <w:left w:w="15" w:type="dxa"/>
            <w:bottom w:w="15" w:type="dxa"/>
            <w:right w:w="15" w:type="dxa"/>
          </w:tblCellMar>
        </w:tblPrEx>
        <w:trPr>
          <w:trHeight w:val="654" w:hRule="atLeast"/>
        </w:trPr>
        <w:tc>
          <w:tcPr>
            <w:tcW w:w="1289" w:type="dxa"/>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p>
        </w:tc>
        <w:tc>
          <w:tcPr>
            <w:tcW w:w="676" w:type="dxa"/>
            <w:tcBorders>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巡店情况</w:t>
            </w:r>
          </w:p>
        </w:tc>
        <w:tc>
          <w:tcPr>
            <w:tcW w:w="6817" w:type="dxa"/>
            <w:tcBorders>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每月片区所有门店巡店不少于两次巡店，以巡店万店掌检核门店数核定。少一家扣1分（以万店掌核实）</w:t>
            </w:r>
          </w:p>
        </w:tc>
        <w:tc>
          <w:tcPr>
            <w:tcW w:w="585" w:type="dxa"/>
            <w:tcBorders>
              <w:bottom w:val="single" w:color="auto" w:sz="4" w:space="0"/>
              <w:right w:val="single" w:color="000000" w:sz="4" w:space="0"/>
            </w:tcBorders>
            <w:vAlign w:val="center"/>
          </w:tcPr>
          <w:p>
            <w:pPr>
              <w:widowControl/>
              <w:jc w:val="center"/>
              <w:textAlignment w:val="center"/>
              <w:rPr>
                <w:rFonts w:hint="eastAsia" w:ascii="仿宋_GB2312" w:hAnsi="仿宋_GB2312" w:eastAsia="仿宋_GB2312" w:cs="仿宋_GB2312"/>
                <w:color w:val="000000"/>
                <w:sz w:val="18"/>
                <w:szCs w:val="18"/>
                <w:lang w:eastAsia="zh-CN"/>
              </w:rPr>
            </w:pPr>
            <w:r>
              <w:rPr>
                <w:rFonts w:hint="eastAsia" w:ascii="仿宋_GB2312" w:hAnsi="仿宋_GB2312" w:eastAsia="仿宋_GB2312" w:cs="仿宋_GB2312"/>
                <w:color w:val="000000"/>
                <w:kern w:val="0"/>
                <w:sz w:val="18"/>
                <w:szCs w:val="18"/>
                <w:lang w:val="en-US" w:eastAsia="zh-CN"/>
              </w:rPr>
              <w:t>4</w:t>
            </w:r>
          </w:p>
        </w:tc>
        <w:tc>
          <w:tcPr>
            <w:tcW w:w="645" w:type="dxa"/>
            <w:tcBorders>
              <w:left w:val="single" w:color="000000" w:sz="4" w:space="0"/>
              <w:bottom w:val="single" w:color="auto" w:sz="4" w:space="0"/>
              <w:right w:val="single" w:color="000000"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left w:val="single" w:color="000000" w:sz="4" w:space="0"/>
              <w:bottom w:val="single" w:color="auto" w:sz="4" w:space="0"/>
              <w:right w:val="single" w:color="000000"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w:t>
            </w:r>
          </w:p>
        </w:tc>
      </w:tr>
      <w:tr>
        <w:tblPrEx>
          <w:tblLayout w:type="fixed"/>
          <w:tblCellMar>
            <w:top w:w="15" w:type="dxa"/>
            <w:left w:w="15" w:type="dxa"/>
            <w:bottom w:w="15" w:type="dxa"/>
            <w:right w:w="15" w:type="dxa"/>
          </w:tblCellMar>
        </w:tblPrEx>
        <w:trPr>
          <w:trHeight w:val="4188"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kern w:val="0"/>
                <w:sz w:val="18"/>
                <w:szCs w:val="18"/>
              </w:rPr>
              <w:t>当月重点工作</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1：门店销售下滑应到店分析原因并立即制定增量方案以及销售恢复情况或门店周边竞争对手有活动未采取措施的（2分）.针对新店有上量措施跟进执行（2分）</w:t>
            </w:r>
          </w:p>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2：存健康系统门店落地执行情况。（5分）</w:t>
            </w:r>
          </w:p>
          <w:p>
            <w:pPr>
              <w:widowControl/>
              <w:jc w:val="left"/>
              <w:textAlignment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3:门店请假管理、排班管理执行情况（3）有一家未按照规范执行-1分。</w:t>
            </w:r>
          </w:p>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4：</w:t>
            </w:r>
            <w:r>
              <w:rPr>
                <w:rFonts w:hint="eastAsia" w:ascii="仿宋_GB2312" w:hAnsi="仿宋_GB2312" w:eastAsia="仿宋_GB2312" w:cs="仿宋_GB2312"/>
                <w:color w:val="FF0000"/>
                <w:kern w:val="0"/>
                <w:sz w:val="18"/>
                <w:szCs w:val="18"/>
              </w:rPr>
              <w:t>片区存量门店客流同比下滑一家门店扣2分。</w:t>
            </w:r>
            <w:r>
              <w:rPr>
                <w:rFonts w:hint="eastAsia" w:ascii="仿宋_GB2312" w:hAnsi="仿宋_GB2312" w:eastAsia="仿宋_GB2312" w:cs="仿宋_GB2312"/>
                <w:kern w:val="0"/>
                <w:sz w:val="18"/>
                <w:szCs w:val="18"/>
              </w:rPr>
              <w:t>（注：如当月门店装修升级则按实际营业天数计算）（5分）</w:t>
            </w:r>
          </w:p>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5：门店活动扣分项（5分），加分项不超过5分。</w:t>
            </w:r>
          </w:p>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6：门店员工流失率（流失一人扣一分）（3分），（公司处罚或公司不续签离职员工除外）如片区内推荐一人到公司上班（+1分）5分封顶</w:t>
            </w:r>
          </w:p>
          <w:p>
            <w:pPr>
              <w:widowControl/>
              <w:jc w:val="left"/>
              <w:textAlignment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7：定坤丹、易善复片区完成情况（ 15分）。全部完成（+10分）</w:t>
            </w:r>
          </w:p>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8;门店基础管理执行情况（5分）（巡店平均分）详见明细表。</w:t>
            </w:r>
          </w:p>
          <w:p>
            <w:pPr>
              <w:widowControl/>
              <w:jc w:val="left"/>
              <w:textAlignment w:val="center"/>
              <w:rPr>
                <w:rFonts w:ascii="仿宋_GB2312" w:hAnsi="仿宋_GB2312" w:eastAsia="仿宋_GB2312" w:cs="仿宋_GB2312"/>
                <w:color w:val="FF0000"/>
                <w:kern w:val="0"/>
                <w:sz w:val="18"/>
                <w:szCs w:val="18"/>
              </w:rPr>
            </w:pPr>
            <w:r>
              <w:rPr>
                <w:rFonts w:hint="eastAsia" w:ascii="仿宋_GB2312" w:hAnsi="仿宋_GB2312" w:eastAsia="仿宋_GB2312" w:cs="仿宋_GB2312"/>
                <w:color w:val="FF0000"/>
                <w:kern w:val="0"/>
                <w:sz w:val="18"/>
                <w:szCs w:val="18"/>
              </w:rPr>
              <w:t>9片区会员消费占比分门店完成情况（如共20家店，只有15家完成，=15/20=0.75*100%=75%，分数=20*0.75=15分）（</w:t>
            </w:r>
            <w:r>
              <w:rPr>
                <w:rFonts w:hint="eastAsia" w:ascii="仿宋_GB2312" w:hAnsi="仿宋_GB2312" w:eastAsia="仿宋_GB2312" w:cs="仿宋_GB2312"/>
                <w:color w:val="FF0000"/>
                <w:kern w:val="0"/>
                <w:sz w:val="18"/>
                <w:szCs w:val="18"/>
                <w:lang w:val="en-US" w:eastAsia="zh-CN"/>
              </w:rPr>
              <w:t>20</w:t>
            </w:r>
            <w:r>
              <w:rPr>
                <w:rFonts w:hint="eastAsia" w:ascii="仿宋_GB2312" w:hAnsi="仿宋_GB2312" w:eastAsia="仿宋_GB2312" w:cs="仿宋_GB2312"/>
                <w:color w:val="FF0000"/>
                <w:kern w:val="0"/>
                <w:sz w:val="18"/>
                <w:szCs w:val="18"/>
              </w:rPr>
              <w:t>分）</w:t>
            </w:r>
            <w:bookmarkStart w:id="0" w:name="_GoBack"/>
            <w:bookmarkEnd w:id="0"/>
          </w:p>
          <w:p>
            <w:pPr>
              <w:widowControl/>
              <w:jc w:val="left"/>
              <w:textAlignment w:val="center"/>
              <w:rPr>
                <w:rFonts w:ascii="仿宋_GB2312" w:hAnsi="仿宋_GB2312" w:eastAsia="仿宋_GB2312" w:cs="仿宋_GB2312"/>
                <w:color w:val="FF0000"/>
                <w:kern w:val="0"/>
                <w:sz w:val="18"/>
                <w:szCs w:val="18"/>
              </w:rPr>
            </w:pP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sz w:val="18"/>
                <w:szCs w:val="18"/>
              </w:rPr>
              <w:t>65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color w:val="000000"/>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营运部等部门确定</w:t>
            </w:r>
          </w:p>
        </w:tc>
      </w:tr>
      <w:tr>
        <w:tblPrEx>
          <w:tblLayout w:type="fixed"/>
          <w:tblCellMar>
            <w:top w:w="15" w:type="dxa"/>
            <w:left w:w="15" w:type="dxa"/>
            <w:bottom w:w="15" w:type="dxa"/>
            <w:right w:w="15" w:type="dxa"/>
          </w:tblCellMar>
        </w:tblPrEx>
        <w:trPr>
          <w:trHeight w:val="6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商品部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522" w:hRule="atLeast"/>
        </w:trPr>
        <w:tc>
          <w:tcPr>
            <w:tcW w:w="1289" w:type="dxa"/>
            <w:tcBorders>
              <w:top w:val="single" w:color="000000" w:sz="4" w:space="0"/>
              <w:left w:val="single" w:color="000000" w:sz="4" w:space="0"/>
              <w:bottom w:val="single" w:color="auto" w:sz="4" w:space="0"/>
              <w:right w:val="single" w:color="000000" w:sz="4" w:space="0"/>
            </w:tcBorders>
            <w:vAlign w:val="center"/>
          </w:tcPr>
          <w:p>
            <w:pPr>
              <w:widowControl/>
              <w:jc w:val="left"/>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其他部门工作执行力</w:t>
            </w:r>
          </w:p>
        </w:tc>
        <w:tc>
          <w:tcPr>
            <w:tcW w:w="676" w:type="dxa"/>
            <w:tcBorders>
              <w:top w:val="single" w:color="000000"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采购部</w:t>
            </w:r>
          </w:p>
        </w:tc>
        <w:tc>
          <w:tcPr>
            <w:tcW w:w="6817" w:type="dxa"/>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kern w:val="0"/>
                <w:sz w:val="18"/>
                <w:szCs w:val="18"/>
              </w:rPr>
            </w:pPr>
            <w:r>
              <w:rPr>
                <w:rFonts w:hint="eastAsia" w:ascii="仿宋_GB2312" w:hAnsi="仿宋_GB2312" w:eastAsia="仿宋_GB2312" w:cs="仿宋_GB2312"/>
                <w:kern w:val="0"/>
                <w:sz w:val="18"/>
                <w:szCs w:val="18"/>
              </w:rPr>
              <w:t>按时按量完成其他部门工作</w:t>
            </w:r>
          </w:p>
        </w:tc>
        <w:tc>
          <w:tcPr>
            <w:tcW w:w="585" w:type="dxa"/>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sz w:val="18"/>
                <w:szCs w:val="18"/>
              </w:rPr>
            </w:pPr>
            <w:r>
              <w:rPr>
                <w:rFonts w:hint="eastAsia" w:ascii="仿宋_GB2312" w:hAnsi="仿宋_GB2312" w:eastAsia="仿宋_GB2312" w:cs="仿宋_GB2312"/>
                <w:sz w:val="18"/>
                <w:szCs w:val="18"/>
              </w:rPr>
              <w:t>5</w:t>
            </w:r>
          </w:p>
        </w:tc>
        <w:tc>
          <w:tcPr>
            <w:tcW w:w="645" w:type="dxa"/>
            <w:tcBorders>
              <w:top w:val="single" w:color="auto" w:sz="4" w:space="0"/>
              <w:left w:val="single" w:color="auto" w:sz="4" w:space="0"/>
              <w:bottom w:val="single" w:color="auto" w:sz="4" w:space="0"/>
              <w:right w:val="single" w:color="auto" w:sz="4" w:space="0"/>
            </w:tcBorders>
            <w:vAlign w:val="center"/>
          </w:tcPr>
          <w:p>
            <w:pPr>
              <w:jc w:val="center"/>
              <w:rPr>
                <w:rFonts w:ascii="仿宋_GB2312" w:hAnsi="仿宋_GB2312" w:eastAsia="仿宋_GB2312" w:cs="仿宋_GB2312"/>
                <w:sz w:val="18"/>
                <w:szCs w:val="18"/>
              </w:rPr>
            </w:pPr>
          </w:p>
        </w:tc>
        <w:tc>
          <w:tcPr>
            <w:tcW w:w="1001"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90"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其他考核</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1、如当月新开门店，每新开1家，奖励200元。如6个月内新开门店盈利，追加当月奖励1000元。一年内盈利追加500元。（此项如涉及跨片，以现岗月份进行核算，未尽事宜解释权归人事部）</w:t>
            </w:r>
          </w:p>
        </w:tc>
      </w:tr>
      <w:tr>
        <w:tblPrEx>
          <w:tblLayout w:type="fixed"/>
          <w:tblCellMar>
            <w:top w:w="15" w:type="dxa"/>
            <w:left w:w="15" w:type="dxa"/>
            <w:bottom w:w="15" w:type="dxa"/>
            <w:right w:w="15" w:type="dxa"/>
          </w:tblCellMar>
        </w:tblPrEx>
        <w:trPr>
          <w:trHeight w:val="257" w:hRule="atLeast"/>
        </w:trPr>
        <w:tc>
          <w:tcPr>
            <w:tcW w:w="1965" w:type="dxa"/>
            <w:gridSpan w:val="2"/>
            <w:tcBorders>
              <w:top w:val="single" w:color="auto" w:sz="4" w:space="0"/>
              <w:left w:val="single" w:color="auto" w:sz="4" w:space="0"/>
              <w:bottom w:val="single" w:color="auto" w:sz="4" w:space="0"/>
              <w:right w:val="single" w:color="auto" w:sz="4" w:space="0"/>
            </w:tcBorders>
            <w:vAlign w:val="center"/>
          </w:tcPr>
          <w:p>
            <w:pPr>
              <w:widowControl/>
              <w:jc w:val="center"/>
              <w:textAlignment w:val="center"/>
              <w:rPr>
                <w:rFonts w:ascii="仿宋_GB2312" w:hAnsi="仿宋_GB2312" w:eastAsia="仿宋_GB2312" w:cs="仿宋_GB2312"/>
                <w:color w:val="000000"/>
                <w:kern w:val="0"/>
                <w:sz w:val="18"/>
                <w:szCs w:val="18"/>
              </w:rPr>
            </w:pPr>
            <w:r>
              <w:rPr>
                <w:rFonts w:hint="eastAsia" w:ascii="仿宋_GB2312" w:hAnsi="仿宋_GB2312" w:eastAsia="仿宋_GB2312" w:cs="仿宋_GB2312"/>
                <w:color w:val="000000"/>
                <w:kern w:val="0"/>
                <w:sz w:val="18"/>
                <w:szCs w:val="18"/>
              </w:rPr>
              <w:t>合计总分</w:t>
            </w:r>
          </w:p>
        </w:tc>
        <w:tc>
          <w:tcPr>
            <w:tcW w:w="9048" w:type="dxa"/>
            <w:gridSpan w:val="5"/>
            <w:tcBorders>
              <w:top w:val="single" w:color="auto" w:sz="4" w:space="0"/>
              <w:left w:val="single" w:color="auto" w:sz="4" w:space="0"/>
              <w:bottom w:val="single" w:color="auto" w:sz="4" w:space="0"/>
              <w:right w:val="single" w:color="auto" w:sz="4" w:space="0"/>
            </w:tcBorders>
            <w:vAlign w:val="center"/>
          </w:tcPr>
          <w:p>
            <w:pPr>
              <w:widowControl/>
              <w:jc w:val="left"/>
              <w:textAlignment w:val="center"/>
              <w:rPr>
                <w:rFonts w:ascii="仿宋_GB2312" w:hAnsi="仿宋_GB2312" w:eastAsia="仿宋_GB2312" w:cs="仿宋_GB2312"/>
                <w:color w:val="000000"/>
                <w:kern w:val="0"/>
                <w:sz w:val="18"/>
                <w:szCs w:val="18"/>
              </w:rPr>
            </w:pPr>
          </w:p>
        </w:tc>
      </w:tr>
      <w:tr>
        <w:tblPrEx>
          <w:tblLayout w:type="fixed"/>
          <w:tblCellMar>
            <w:top w:w="15" w:type="dxa"/>
            <w:left w:w="15" w:type="dxa"/>
            <w:bottom w:w="15" w:type="dxa"/>
            <w:right w:w="15" w:type="dxa"/>
          </w:tblCellMar>
        </w:tblPrEx>
        <w:trPr>
          <w:trHeight w:val="389" w:hRule="atLeast"/>
        </w:trPr>
        <w:tc>
          <w:tcPr>
            <w:tcW w:w="11013" w:type="dxa"/>
            <w:gridSpan w:val="7"/>
            <w:tcBorders>
              <w:top w:val="single" w:color="auto" w:sz="4" w:space="0"/>
              <w:left w:val="single" w:color="000000" w:sz="4" w:space="0"/>
              <w:bottom w:val="single" w:color="000000" w:sz="4" w:space="0"/>
              <w:right w:val="single" w:color="000000" w:sz="4" w:space="0"/>
            </w:tcBorders>
          </w:tcPr>
          <w:p>
            <w:pPr>
              <w:widowControl/>
              <w:jc w:val="left"/>
              <w:textAlignment w:val="top"/>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上月绩效需改进的方面：                                              被考核责任人签字：</w:t>
            </w:r>
          </w:p>
        </w:tc>
      </w:tr>
      <w:tr>
        <w:tblPrEx>
          <w:tblLayout w:type="fixed"/>
          <w:tblCellMar>
            <w:top w:w="15" w:type="dxa"/>
            <w:left w:w="15" w:type="dxa"/>
            <w:bottom w:w="15" w:type="dxa"/>
            <w:right w:w="15" w:type="dxa"/>
          </w:tblCellMar>
        </w:tblPrEx>
        <w:trPr>
          <w:trHeight w:val="337" w:hRule="atLeast"/>
        </w:trPr>
        <w:tc>
          <w:tcPr>
            <w:tcW w:w="11013" w:type="dxa"/>
            <w:gridSpan w:val="7"/>
            <w:tcBorders>
              <w:left w:val="single" w:color="000000" w:sz="4" w:space="0"/>
              <w:bottom w:val="single" w:color="000000" w:sz="4" w:space="0"/>
              <w:right w:val="single" w:color="000000" w:sz="4" w:space="0"/>
            </w:tcBorders>
            <w:vAlign w:val="center"/>
          </w:tcPr>
          <w:p>
            <w:pPr>
              <w:widowControl/>
              <w:jc w:val="left"/>
              <w:textAlignment w:val="center"/>
              <w:rPr>
                <w:rFonts w:ascii="仿宋_GB2312" w:hAnsi="仿宋_GB2312" w:eastAsia="仿宋_GB2312" w:cs="仿宋_GB2312"/>
                <w:color w:val="000000"/>
                <w:sz w:val="18"/>
                <w:szCs w:val="18"/>
              </w:rPr>
            </w:pPr>
            <w:r>
              <w:rPr>
                <w:rFonts w:hint="eastAsia" w:ascii="仿宋_GB2312" w:hAnsi="仿宋_GB2312" w:eastAsia="仿宋_GB2312" w:cs="仿宋_GB2312"/>
                <w:color w:val="000000"/>
                <w:kern w:val="0"/>
                <w:sz w:val="18"/>
                <w:szCs w:val="18"/>
              </w:rPr>
              <w:t xml:space="preserve"> 被考核责任人：                 人事部：               总经理：                  董事长：</w:t>
            </w:r>
          </w:p>
        </w:tc>
      </w:tr>
    </w:tbl>
    <w:p>
      <w:pPr>
        <w:rPr>
          <w:szCs w:val="21"/>
        </w:rPr>
      </w:pPr>
    </w:p>
    <w:sectPr>
      <w:pgSz w:w="11906" w:h="16838"/>
      <w:pgMar w:top="720" w:right="720" w:bottom="720" w:left="72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仿宋_GB2312">
    <w:altName w:val="仿宋"/>
    <w:panose1 w:val="00000000000000000000"/>
    <w:charset w:val="86"/>
    <w:family w:val="auto"/>
    <w:pitch w:val="default"/>
    <w:sig w:usb0="00000000" w:usb1="0000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2"/>
  </w:compat>
  <w:rsids>
    <w:rsidRoot w:val="43B15793"/>
    <w:rsid w:val="00050BC1"/>
    <w:rsid w:val="000B0EB7"/>
    <w:rsid w:val="000C5262"/>
    <w:rsid w:val="0010232B"/>
    <w:rsid w:val="001567F5"/>
    <w:rsid w:val="00164A64"/>
    <w:rsid w:val="00172F74"/>
    <w:rsid w:val="001A08E8"/>
    <w:rsid w:val="001D6870"/>
    <w:rsid w:val="001F7144"/>
    <w:rsid w:val="0021191E"/>
    <w:rsid w:val="00217ADD"/>
    <w:rsid w:val="00227249"/>
    <w:rsid w:val="00243A8B"/>
    <w:rsid w:val="00260BA7"/>
    <w:rsid w:val="00281D2F"/>
    <w:rsid w:val="00281E7E"/>
    <w:rsid w:val="00287D1C"/>
    <w:rsid w:val="002A726C"/>
    <w:rsid w:val="002C65CE"/>
    <w:rsid w:val="002E0EA5"/>
    <w:rsid w:val="0032676C"/>
    <w:rsid w:val="00352359"/>
    <w:rsid w:val="00354EE6"/>
    <w:rsid w:val="00357279"/>
    <w:rsid w:val="00392065"/>
    <w:rsid w:val="00393AFD"/>
    <w:rsid w:val="003B73EC"/>
    <w:rsid w:val="003E18A3"/>
    <w:rsid w:val="0042676C"/>
    <w:rsid w:val="00434EB1"/>
    <w:rsid w:val="004415CE"/>
    <w:rsid w:val="00453E3B"/>
    <w:rsid w:val="0046140F"/>
    <w:rsid w:val="00461496"/>
    <w:rsid w:val="0046377E"/>
    <w:rsid w:val="004740E9"/>
    <w:rsid w:val="004910DB"/>
    <w:rsid w:val="00505C1D"/>
    <w:rsid w:val="0053412F"/>
    <w:rsid w:val="00557194"/>
    <w:rsid w:val="00565789"/>
    <w:rsid w:val="005730FD"/>
    <w:rsid w:val="005A5805"/>
    <w:rsid w:val="005B3884"/>
    <w:rsid w:val="005D082F"/>
    <w:rsid w:val="00601BF7"/>
    <w:rsid w:val="0061764F"/>
    <w:rsid w:val="006356B3"/>
    <w:rsid w:val="00637D98"/>
    <w:rsid w:val="00665E59"/>
    <w:rsid w:val="00683458"/>
    <w:rsid w:val="006B1588"/>
    <w:rsid w:val="006C32E2"/>
    <w:rsid w:val="006C6564"/>
    <w:rsid w:val="006D2BF8"/>
    <w:rsid w:val="006D37DD"/>
    <w:rsid w:val="006E2DAF"/>
    <w:rsid w:val="006F0F5A"/>
    <w:rsid w:val="006F6790"/>
    <w:rsid w:val="00703D6C"/>
    <w:rsid w:val="00770E9C"/>
    <w:rsid w:val="007873AF"/>
    <w:rsid w:val="007C4914"/>
    <w:rsid w:val="007C7BB1"/>
    <w:rsid w:val="007E4DA8"/>
    <w:rsid w:val="0083777C"/>
    <w:rsid w:val="00840045"/>
    <w:rsid w:val="00842854"/>
    <w:rsid w:val="00851ABF"/>
    <w:rsid w:val="00884A42"/>
    <w:rsid w:val="008B3002"/>
    <w:rsid w:val="008B7954"/>
    <w:rsid w:val="008C6B56"/>
    <w:rsid w:val="00913F54"/>
    <w:rsid w:val="009329BC"/>
    <w:rsid w:val="00960DC4"/>
    <w:rsid w:val="009C6C65"/>
    <w:rsid w:val="009D2540"/>
    <w:rsid w:val="009E7D50"/>
    <w:rsid w:val="00A0000B"/>
    <w:rsid w:val="00A1249D"/>
    <w:rsid w:val="00A226EF"/>
    <w:rsid w:val="00A30BD8"/>
    <w:rsid w:val="00A31120"/>
    <w:rsid w:val="00A5767F"/>
    <w:rsid w:val="00A70615"/>
    <w:rsid w:val="00AB332A"/>
    <w:rsid w:val="00AB6DD8"/>
    <w:rsid w:val="00AC3CBF"/>
    <w:rsid w:val="00AC43E9"/>
    <w:rsid w:val="00AF5168"/>
    <w:rsid w:val="00B75D1C"/>
    <w:rsid w:val="00B832EB"/>
    <w:rsid w:val="00B959CD"/>
    <w:rsid w:val="00BE6773"/>
    <w:rsid w:val="00C213EE"/>
    <w:rsid w:val="00C32B4D"/>
    <w:rsid w:val="00C42F95"/>
    <w:rsid w:val="00C67074"/>
    <w:rsid w:val="00C80258"/>
    <w:rsid w:val="00CB747D"/>
    <w:rsid w:val="00CC0168"/>
    <w:rsid w:val="00CC165E"/>
    <w:rsid w:val="00CC2463"/>
    <w:rsid w:val="00CE441A"/>
    <w:rsid w:val="00D04590"/>
    <w:rsid w:val="00D17296"/>
    <w:rsid w:val="00D267F1"/>
    <w:rsid w:val="00D46F45"/>
    <w:rsid w:val="00D72627"/>
    <w:rsid w:val="00D749D0"/>
    <w:rsid w:val="00D9063C"/>
    <w:rsid w:val="00D9549D"/>
    <w:rsid w:val="00E04619"/>
    <w:rsid w:val="00E4331A"/>
    <w:rsid w:val="00E635A8"/>
    <w:rsid w:val="00EA14CC"/>
    <w:rsid w:val="00EB3396"/>
    <w:rsid w:val="00EC2728"/>
    <w:rsid w:val="00EC6485"/>
    <w:rsid w:val="00EE7125"/>
    <w:rsid w:val="00EF0B5E"/>
    <w:rsid w:val="00F16659"/>
    <w:rsid w:val="00F31164"/>
    <w:rsid w:val="00F61F1B"/>
    <w:rsid w:val="00F64393"/>
    <w:rsid w:val="00F74815"/>
    <w:rsid w:val="00FA65B1"/>
    <w:rsid w:val="00FC0343"/>
    <w:rsid w:val="00FD4810"/>
    <w:rsid w:val="00FD672C"/>
    <w:rsid w:val="00FF2560"/>
    <w:rsid w:val="01345373"/>
    <w:rsid w:val="01582BC2"/>
    <w:rsid w:val="019A362C"/>
    <w:rsid w:val="01D90B32"/>
    <w:rsid w:val="01FB5C4F"/>
    <w:rsid w:val="0234464C"/>
    <w:rsid w:val="031F410D"/>
    <w:rsid w:val="03284C2A"/>
    <w:rsid w:val="034104E4"/>
    <w:rsid w:val="0404788F"/>
    <w:rsid w:val="04772145"/>
    <w:rsid w:val="04882B7C"/>
    <w:rsid w:val="05BF3663"/>
    <w:rsid w:val="05CC1C2B"/>
    <w:rsid w:val="05CF325F"/>
    <w:rsid w:val="06077A8A"/>
    <w:rsid w:val="06353D96"/>
    <w:rsid w:val="06364E55"/>
    <w:rsid w:val="06480076"/>
    <w:rsid w:val="06796A2D"/>
    <w:rsid w:val="06D0743C"/>
    <w:rsid w:val="07132A0C"/>
    <w:rsid w:val="07CA2ED7"/>
    <w:rsid w:val="07CC6320"/>
    <w:rsid w:val="08161CD1"/>
    <w:rsid w:val="081E2374"/>
    <w:rsid w:val="082F2274"/>
    <w:rsid w:val="084C43AA"/>
    <w:rsid w:val="086C26E0"/>
    <w:rsid w:val="08B11DA9"/>
    <w:rsid w:val="08FA57C7"/>
    <w:rsid w:val="0972418C"/>
    <w:rsid w:val="0972482A"/>
    <w:rsid w:val="0981211F"/>
    <w:rsid w:val="0A277AAA"/>
    <w:rsid w:val="0A3C1A4E"/>
    <w:rsid w:val="0A5434AA"/>
    <w:rsid w:val="0A663E0C"/>
    <w:rsid w:val="0AF8308E"/>
    <w:rsid w:val="0B3B3640"/>
    <w:rsid w:val="0B424228"/>
    <w:rsid w:val="0B491F2C"/>
    <w:rsid w:val="0B861885"/>
    <w:rsid w:val="0BC72E04"/>
    <w:rsid w:val="0BC76BDF"/>
    <w:rsid w:val="0C1D75EE"/>
    <w:rsid w:val="0C885CB6"/>
    <w:rsid w:val="0C9F46C4"/>
    <w:rsid w:val="0D177805"/>
    <w:rsid w:val="0E1B1632"/>
    <w:rsid w:val="0E523D0A"/>
    <w:rsid w:val="0E52758D"/>
    <w:rsid w:val="0E5A4A41"/>
    <w:rsid w:val="0E673CAF"/>
    <w:rsid w:val="10254F0A"/>
    <w:rsid w:val="112138E9"/>
    <w:rsid w:val="113E4126"/>
    <w:rsid w:val="11552DE4"/>
    <w:rsid w:val="117670ED"/>
    <w:rsid w:val="118A377D"/>
    <w:rsid w:val="11C0052E"/>
    <w:rsid w:val="120B03E5"/>
    <w:rsid w:val="121064CE"/>
    <w:rsid w:val="128C11B7"/>
    <w:rsid w:val="13110DD5"/>
    <w:rsid w:val="1320016F"/>
    <w:rsid w:val="132A6F5D"/>
    <w:rsid w:val="134770B1"/>
    <w:rsid w:val="135F0C5A"/>
    <w:rsid w:val="137F4E75"/>
    <w:rsid w:val="138C0454"/>
    <w:rsid w:val="140164DF"/>
    <w:rsid w:val="14200F92"/>
    <w:rsid w:val="157D344D"/>
    <w:rsid w:val="15CD6E46"/>
    <w:rsid w:val="166315B3"/>
    <w:rsid w:val="168A0497"/>
    <w:rsid w:val="168B1535"/>
    <w:rsid w:val="16941FA7"/>
    <w:rsid w:val="17592C0E"/>
    <w:rsid w:val="176410EF"/>
    <w:rsid w:val="18703945"/>
    <w:rsid w:val="18786866"/>
    <w:rsid w:val="188B759C"/>
    <w:rsid w:val="189A3A77"/>
    <w:rsid w:val="18BA59B0"/>
    <w:rsid w:val="18C978A5"/>
    <w:rsid w:val="18F5634C"/>
    <w:rsid w:val="192D5133"/>
    <w:rsid w:val="19774D8A"/>
    <w:rsid w:val="1A12334A"/>
    <w:rsid w:val="1A4768A9"/>
    <w:rsid w:val="1A9B0BEB"/>
    <w:rsid w:val="1BC90490"/>
    <w:rsid w:val="1BE753BD"/>
    <w:rsid w:val="1C2361BA"/>
    <w:rsid w:val="1C5A0892"/>
    <w:rsid w:val="1C847F14"/>
    <w:rsid w:val="1C8A1CEF"/>
    <w:rsid w:val="1CE155A5"/>
    <w:rsid w:val="1CFD0CBD"/>
    <w:rsid w:val="1DB530CD"/>
    <w:rsid w:val="1E607F49"/>
    <w:rsid w:val="1E996BC3"/>
    <w:rsid w:val="1ED15D1C"/>
    <w:rsid w:val="1EDA5F72"/>
    <w:rsid w:val="1EEF7E16"/>
    <w:rsid w:val="1EFA613C"/>
    <w:rsid w:val="1F221C70"/>
    <w:rsid w:val="1F3C1C4F"/>
    <w:rsid w:val="1F6B4762"/>
    <w:rsid w:val="1FB35111"/>
    <w:rsid w:val="1FCA14B3"/>
    <w:rsid w:val="206C5E16"/>
    <w:rsid w:val="20B668B0"/>
    <w:rsid w:val="20D81670"/>
    <w:rsid w:val="211A595D"/>
    <w:rsid w:val="21557C3C"/>
    <w:rsid w:val="21A60DC4"/>
    <w:rsid w:val="21DD349D"/>
    <w:rsid w:val="226035E7"/>
    <w:rsid w:val="227F6529"/>
    <w:rsid w:val="23593C8E"/>
    <w:rsid w:val="23B0469D"/>
    <w:rsid w:val="23D702D8"/>
    <w:rsid w:val="2421531F"/>
    <w:rsid w:val="24485B15"/>
    <w:rsid w:val="24F3084A"/>
    <w:rsid w:val="25163066"/>
    <w:rsid w:val="252C160A"/>
    <w:rsid w:val="26025814"/>
    <w:rsid w:val="267C2231"/>
    <w:rsid w:val="26D32C40"/>
    <w:rsid w:val="276B793B"/>
    <w:rsid w:val="28D10507"/>
    <w:rsid w:val="291D7302"/>
    <w:rsid w:val="291E6B6E"/>
    <w:rsid w:val="292F528A"/>
    <w:rsid w:val="29525AD9"/>
    <w:rsid w:val="297500A6"/>
    <w:rsid w:val="29A73C7F"/>
    <w:rsid w:val="29D55AC0"/>
    <w:rsid w:val="2AEC6EEC"/>
    <w:rsid w:val="2C362D97"/>
    <w:rsid w:val="2C401128"/>
    <w:rsid w:val="2DA05389"/>
    <w:rsid w:val="2DD227B8"/>
    <w:rsid w:val="2DD7183B"/>
    <w:rsid w:val="2E071CC4"/>
    <w:rsid w:val="2E136AA5"/>
    <w:rsid w:val="2E626A35"/>
    <w:rsid w:val="2E902140"/>
    <w:rsid w:val="2ECC1AD7"/>
    <w:rsid w:val="2ED67E68"/>
    <w:rsid w:val="2F424F98"/>
    <w:rsid w:val="302802A7"/>
    <w:rsid w:val="306814F8"/>
    <w:rsid w:val="30B24BAF"/>
    <w:rsid w:val="318048D9"/>
    <w:rsid w:val="31AE7611"/>
    <w:rsid w:val="31C33D33"/>
    <w:rsid w:val="3224686E"/>
    <w:rsid w:val="323B00E4"/>
    <w:rsid w:val="326E0B7C"/>
    <w:rsid w:val="32B25BB9"/>
    <w:rsid w:val="338B331E"/>
    <w:rsid w:val="33DC3CA0"/>
    <w:rsid w:val="340A7104"/>
    <w:rsid w:val="355E0C9B"/>
    <w:rsid w:val="35BA2EDF"/>
    <w:rsid w:val="36030A6A"/>
    <w:rsid w:val="36173CCD"/>
    <w:rsid w:val="362638DE"/>
    <w:rsid w:val="36815809"/>
    <w:rsid w:val="372C62B4"/>
    <w:rsid w:val="37A80BE0"/>
    <w:rsid w:val="37B336EE"/>
    <w:rsid w:val="38764AB1"/>
    <w:rsid w:val="38B0363C"/>
    <w:rsid w:val="391F5194"/>
    <w:rsid w:val="393018FE"/>
    <w:rsid w:val="39E43513"/>
    <w:rsid w:val="3A335D0B"/>
    <w:rsid w:val="3A873CEC"/>
    <w:rsid w:val="3A8741A2"/>
    <w:rsid w:val="3B026815"/>
    <w:rsid w:val="3B846932"/>
    <w:rsid w:val="3BA548E8"/>
    <w:rsid w:val="3C4D59F1"/>
    <w:rsid w:val="3C7D3039"/>
    <w:rsid w:val="3C926AEF"/>
    <w:rsid w:val="3CDB4424"/>
    <w:rsid w:val="3CDD1355"/>
    <w:rsid w:val="3D97757E"/>
    <w:rsid w:val="3E120E9E"/>
    <w:rsid w:val="3E1B1ED4"/>
    <w:rsid w:val="3E3C33E4"/>
    <w:rsid w:val="3F344EBE"/>
    <w:rsid w:val="3F551B76"/>
    <w:rsid w:val="3F7F031B"/>
    <w:rsid w:val="3FB20ED9"/>
    <w:rsid w:val="402E72DA"/>
    <w:rsid w:val="404E1D8E"/>
    <w:rsid w:val="40A31FEC"/>
    <w:rsid w:val="40A5279C"/>
    <w:rsid w:val="40CF3971"/>
    <w:rsid w:val="40DC06F8"/>
    <w:rsid w:val="40FB31AB"/>
    <w:rsid w:val="41C72F4A"/>
    <w:rsid w:val="41E67BCE"/>
    <w:rsid w:val="42585666"/>
    <w:rsid w:val="42963BD7"/>
    <w:rsid w:val="42BF669F"/>
    <w:rsid w:val="430E0648"/>
    <w:rsid w:val="431E26B5"/>
    <w:rsid w:val="43474CAB"/>
    <w:rsid w:val="43695540"/>
    <w:rsid w:val="437C1F45"/>
    <w:rsid w:val="43B15793"/>
    <w:rsid w:val="43BD29AF"/>
    <w:rsid w:val="43FF6C9B"/>
    <w:rsid w:val="443A0E0B"/>
    <w:rsid w:val="446012BE"/>
    <w:rsid w:val="44C22A0F"/>
    <w:rsid w:val="452A6522"/>
    <w:rsid w:val="45AA079B"/>
    <w:rsid w:val="46421795"/>
    <w:rsid w:val="469F3D6C"/>
    <w:rsid w:val="47210E42"/>
    <w:rsid w:val="47463EE4"/>
    <w:rsid w:val="474C39E8"/>
    <w:rsid w:val="47830DD7"/>
    <w:rsid w:val="478C2F7C"/>
    <w:rsid w:val="478E1476"/>
    <w:rsid w:val="47D50054"/>
    <w:rsid w:val="47FF3219"/>
    <w:rsid w:val="4806376C"/>
    <w:rsid w:val="48561FC9"/>
    <w:rsid w:val="48B15C47"/>
    <w:rsid w:val="49072FA9"/>
    <w:rsid w:val="49261C3F"/>
    <w:rsid w:val="493347CF"/>
    <w:rsid w:val="495653DF"/>
    <w:rsid w:val="49626DF3"/>
    <w:rsid w:val="4A8D1DAA"/>
    <w:rsid w:val="4BE9312F"/>
    <w:rsid w:val="4C6D6F48"/>
    <w:rsid w:val="4C7E34E9"/>
    <w:rsid w:val="4C855396"/>
    <w:rsid w:val="4CDE7123"/>
    <w:rsid w:val="4CE64136"/>
    <w:rsid w:val="4D04666F"/>
    <w:rsid w:val="4D422E04"/>
    <w:rsid w:val="4D524AEA"/>
    <w:rsid w:val="4D9E7167"/>
    <w:rsid w:val="4DBA2E18"/>
    <w:rsid w:val="4DEA1C08"/>
    <w:rsid w:val="4DFC4505"/>
    <w:rsid w:val="4DFD5257"/>
    <w:rsid w:val="4E6D2CB8"/>
    <w:rsid w:val="4E73107B"/>
    <w:rsid w:val="4EDF2ED7"/>
    <w:rsid w:val="4F171229"/>
    <w:rsid w:val="4F3B240C"/>
    <w:rsid w:val="4FF9094B"/>
    <w:rsid w:val="50095F5C"/>
    <w:rsid w:val="501F5F01"/>
    <w:rsid w:val="510319F7"/>
    <w:rsid w:val="51F10B9E"/>
    <w:rsid w:val="5232150B"/>
    <w:rsid w:val="5352193E"/>
    <w:rsid w:val="53603D4F"/>
    <w:rsid w:val="536227DB"/>
    <w:rsid w:val="5365486E"/>
    <w:rsid w:val="537B2C47"/>
    <w:rsid w:val="539E5927"/>
    <w:rsid w:val="54103BF9"/>
    <w:rsid w:val="541D7954"/>
    <w:rsid w:val="542E2264"/>
    <w:rsid w:val="54471B54"/>
    <w:rsid w:val="546A251E"/>
    <w:rsid w:val="554D466D"/>
    <w:rsid w:val="55F1701A"/>
    <w:rsid w:val="56022E97"/>
    <w:rsid w:val="5624656C"/>
    <w:rsid w:val="564104D7"/>
    <w:rsid w:val="56545CC5"/>
    <w:rsid w:val="577F009D"/>
    <w:rsid w:val="578B1D6C"/>
    <w:rsid w:val="580E43E4"/>
    <w:rsid w:val="5817150C"/>
    <w:rsid w:val="58633B93"/>
    <w:rsid w:val="58A702DF"/>
    <w:rsid w:val="591305FD"/>
    <w:rsid w:val="591B3341"/>
    <w:rsid w:val="59290C6D"/>
    <w:rsid w:val="59537B91"/>
    <w:rsid w:val="59870472"/>
    <w:rsid w:val="59C161A4"/>
    <w:rsid w:val="5A0A51C8"/>
    <w:rsid w:val="5BB41248"/>
    <w:rsid w:val="5C1F35AE"/>
    <w:rsid w:val="5C2A56A7"/>
    <w:rsid w:val="5C753FBD"/>
    <w:rsid w:val="5CB860BB"/>
    <w:rsid w:val="5D9E2448"/>
    <w:rsid w:val="5DD067F8"/>
    <w:rsid w:val="5DEC6C83"/>
    <w:rsid w:val="5E122AE4"/>
    <w:rsid w:val="5E144AE0"/>
    <w:rsid w:val="5EA1333A"/>
    <w:rsid w:val="5F9430D6"/>
    <w:rsid w:val="5F9B4FAA"/>
    <w:rsid w:val="5FA479F8"/>
    <w:rsid w:val="5FD92450"/>
    <w:rsid w:val="60056797"/>
    <w:rsid w:val="612B2CF7"/>
    <w:rsid w:val="612C5666"/>
    <w:rsid w:val="61477C2C"/>
    <w:rsid w:val="61813705"/>
    <w:rsid w:val="618805D1"/>
    <w:rsid w:val="61940F03"/>
    <w:rsid w:val="61967E27"/>
    <w:rsid w:val="61A41882"/>
    <w:rsid w:val="61E324A5"/>
    <w:rsid w:val="61E5382D"/>
    <w:rsid w:val="625F15ED"/>
    <w:rsid w:val="62770F75"/>
    <w:rsid w:val="62803B10"/>
    <w:rsid w:val="633B6C19"/>
    <w:rsid w:val="633D1143"/>
    <w:rsid w:val="637F0FCD"/>
    <w:rsid w:val="637F5749"/>
    <w:rsid w:val="638D2B28"/>
    <w:rsid w:val="640572EE"/>
    <w:rsid w:val="648B7089"/>
    <w:rsid w:val="64C13874"/>
    <w:rsid w:val="64DA7F84"/>
    <w:rsid w:val="64EA7FAA"/>
    <w:rsid w:val="64FC5F3B"/>
    <w:rsid w:val="652B24C8"/>
    <w:rsid w:val="65C91E0B"/>
    <w:rsid w:val="65E90142"/>
    <w:rsid w:val="66007D67"/>
    <w:rsid w:val="666C4E98"/>
    <w:rsid w:val="668969C6"/>
    <w:rsid w:val="66C258A6"/>
    <w:rsid w:val="675C7F54"/>
    <w:rsid w:val="67B31A7A"/>
    <w:rsid w:val="67DD3A75"/>
    <w:rsid w:val="68657F75"/>
    <w:rsid w:val="688B4E92"/>
    <w:rsid w:val="68A015B4"/>
    <w:rsid w:val="69290CB6"/>
    <w:rsid w:val="69AA2249"/>
    <w:rsid w:val="69C26F12"/>
    <w:rsid w:val="69C61397"/>
    <w:rsid w:val="69E676CD"/>
    <w:rsid w:val="69F814ED"/>
    <w:rsid w:val="6A071E00"/>
    <w:rsid w:val="6A0833CF"/>
    <w:rsid w:val="6A935267"/>
    <w:rsid w:val="6A9E27DE"/>
    <w:rsid w:val="6AEA5C76"/>
    <w:rsid w:val="6B296B6F"/>
    <w:rsid w:val="6B65472D"/>
    <w:rsid w:val="6B770D5D"/>
    <w:rsid w:val="6B91716E"/>
    <w:rsid w:val="6BAE6CB9"/>
    <w:rsid w:val="6C0E6E01"/>
    <w:rsid w:val="6C94354F"/>
    <w:rsid w:val="6D874CD9"/>
    <w:rsid w:val="6EC124F9"/>
    <w:rsid w:val="6F1218C9"/>
    <w:rsid w:val="6F9F49B0"/>
    <w:rsid w:val="6FDE75A2"/>
    <w:rsid w:val="70346AE9"/>
    <w:rsid w:val="70AE4B6D"/>
    <w:rsid w:val="70E57245"/>
    <w:rsid w:val="70FF4180"/>
    <w:rsid w:val="717A5195"/>
    <w:rsid w:val="71920663"/>
    <w:rsid w:val="723416D2"/>
    <w:rsid w:val="724524A3"/>
    <w:rsid w:val="72617A36"/>
    <w:rsid w:val="72FC03BA"/>
    <w:rsid w:val="73655FDF"/>
    <w:rsid w:val="74B62489"/>
    <w:rsid w:val="74C92ADB"/>
    <w:rsid w:val="752F32A4"/>
    <w:rsid w:val="759A5F7F"/>
    <w:rsid w:val="75C42647"/>
    <w:rsid w:val="75D52416"/>
    <w:rsid w:val="75F1698E"/>
    <w:rsid w:val="76043841"/>
    <w:rsid w:val="760813AF"/>
    <w:rsid w:val="760E60FA"/>
    <w:rsid w:val="765E0634"/>
    <w:rsid w:val="766354AA"/>
    <w:rsid w:val="76646B39"/>
    <w:rsid w:val="76AD3AC6"/>
    <w:rsid w:val="77126815"/>
    <w:rsid w:val="77AD1180"/>
    <w:rsid w:val="77FA69E3"/>
    <w:rsid w:val="785C5783"/>
    <w:rsid w:val="78C728B3"/>
    <w:rsid w:val="78DB03FA"/>
    <w:rsid w:val="7A3431C9"/>
    <w:rsid w:val="7A743244"/>
    <w:rsid w:val="7A75632B"/>
    <w:rsid w:val="7A9059A7"/>
    <w:rsid w:val="7AB17A37"/>
    <w:rsid w:val="7B5D15F3"/>
    <w:rsid w:val="7B7D7929"/>
    <w:rsid w:val="7CAE5A9D"/>
    <w:rsid w:val="7D7E770D"/>
    <w:rsid w:val="7D832832"/>
    <w:rsid w:val="7E0C65FB"/>
    <w:rsid w:val="7E6D09FF"/>
    <w:rsid w:val="7E6F73EC"/>
    <w:rsid w:val="7E8666DE"/>
    <w:rsid w:val="7EA24FB2"/>
    <w:rsid w:val="7ECB4DD0"/>
    <w:rsid w:val="7F2E4837"/>
    <w:rsid w:val="7F656F0F"/>
    <w:rsid w:val="7FD4212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iPriority="1"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iPriority="99"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5">
    <w:name w:val="Default Paragraph Font"/>
    <w:semiHidden/>
    <w:unhideWhenUsed/>
    <w:uiPriority w:val="1"/>
  </w:style>
  <w:style w:type="table" w:default="1" w:styleId="4">
    <w:name w:val="Normal Table"/>
    <w:semiHidden/>
    <w:unhideWhenUsed/>
    <w:qFormat/>
    <w:uiPriority w:val="99"/>
    <w:tblPr>
      <w:tblLayout w:type="fixed"/>
      <w:tblCellMar>
        <w:top w:w="0" w:type="dxa"/>
        <w:left w:w="108" w:type="dxa"/>
        <w:bottom w:w="0" w:type="dxa"/>
        <w:right w:w="108" w:type="dxa"/>
      </w:tblCellMar>
    </w:tblPr>
  </w:style>
  <w:style w:type="paragraph" w:styleId="2">
    <w:name w:val="footer"/>
    <w:basedOn w:val="1"/>
    <w:link w:val="7"/>
    <w:uiPriority w:val="0"/>
    <w:pPr>
      <w:tabs>
        <w:tab w:val="center" w:pos="4153"/>
        <w:tab w:val="right" w:pos="8306"/>
      </w:tabs>
      <w:snapToGrid w:val="0"/>
      <w:jc w:val="left"/>
    </w:pPr>
    <w:rPr>
      <w:sz w:val="18"/>
      <w:szCs w:val="18"/>
    </w:rPr>
  </w:style>
  <w:style w:type="paragraph" w:styleId="3">
    <w:name w:val="header"/>
    <w:basedOn w:val="1"/>
    <w:link w:val="6"/>
    <w:uiPriority w:val="0"/>
    <w:pPr>
      <w:pBdr>
        <w:bottom w:val="single" w:color="auto" w:sz="6" w:space="1"/>
      </w:pBdr>
      <w:tabs>
        <w:tab w:val="center" w:pos="4153"/>
        <w:tab w:val="right" w:pos="8306"/>
      </w:tabs>
      <w:snapToGrid w:val="0"/>
      <w:jc w:val="center"/>
    </w:pPr>
    <w:rPr>
      <w:sz w:val="18"/>
      <w:szCs w:val="18"/>
    </w:rPr>
  </w:style>
  <w:style w:type="character" w:customStyle="1" w:styleId="6">
    <w:name w:val="页眉 Char"/>
    <w:basedOn w:val="5"/>
    <w:link w:val="3"/>
    <w:uiPriority w:val="0"/>
    <w:rPr>
      <w:kern w:val="2"/>
      <w:sz w:val="18"/>
      <w:szCs w:val="18"/>
    </w:rPr>
  </w:style>
  <w:style w:type="character" w:customStyle="1" w:styleId="7">
    <w:name w:val="页脚 Char"/>
    <w:basedOn w:val="5"/>
    <w:link w:val="2"/>
    <w:uiPriority w:val="0"/>
    <w:rPr>
      <w:kern w:val="2"/>
      <w:sz w:val="18"/>
      <w:szCs w:val="18"/>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2.xml"/><Relationship Id="rId4" Type="http://schemas.openxmlformats.org/officeDocument/2006/relationships/customXml" Target="../customXml/item1.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s:customData xmlns="http://www.wps.cn/officeDocument/2013/wpsCustomData" xmlns:s="http://www.wps.cn/officeDocument/2013/wpsCustomData">
  <customSectProps>
    <customSectPr/>
  </customSectProps>
</s:customData>
</file>

<file path=customXml/item2.xml><?xml version="1.0" encoding="utf-8"?>
<b:Sources xmlns:b="http://schemas.openxmlformats.org/officeDocument/2006/bibliography" xmlns="http://schemas.openxmlformats.org/officeDocument/2006/bibliography" SelectedStyle="" StyleName=""/>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customXml/itemProps2.xml><?xml version="1.0" encoding="utf-8"?>
<ds:datastoreItem xmlns:ds="http://schemas.openxmlformats.org/officeDocument/2006/customXml" ds:itemID="{F89EFAFF-4E82-4FC8-870F-AD48AC3CB088}">
  <ds:schemaRefs/>
</ds:datastoreItem>
</file>

<file path=docProps/app.xml><?xml version="1.0" encoding="utf-8"?>
<Properties xmlns="http://schemas.openxmlformats.org/officeDocument/2006/extended-properties" xmlns:vt="http://schemas.openxmlformats.org/officeDocument/2006/docPropsVTypes">
  <Template>Normal</Template>
  <Pages>1</Pages>
  <Words>198</Words>
  <Characters>1135</Characters>
  <Lines>9</Lines>
  <Paragraphs>2</Paragraphs>
  <TotalTime>7</TotalTime>
  <ScaleCrop>false</ScaleCrop>
  <LinksUpToDate>false</LinksUpToDate>
  <CharactersWithSpaces>1331</CharactersWithSpaces>
  <Application>WPS Office_11.1.0.8573_F1E327BC-269C-435d-A152-05C5408002CA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2019-05-06T03:32:00Z</dcterms:created>
  <dc:creator>Administrator</dc:creator>
  <cp:lastModifiedBy>凉薄1416584028</cp:lastModifiedBy>
  <cp:lastPrinted>2018-05-29T01:35:00Z</cp:lastPrinted>
  <dcterms:modified xsi:type="dcterms:W3CDTF">2019-05-06T03:34:49Z</dcterms:modified>
  <cp:revision>3</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2052-11.1.0.8573</vt:lpwstr>
  </property>
</Properties>
</file>