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61" w:firstLineChars="59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2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；能灵活运用搭配销售、关联销售等技巧。客单价保持在门店平均客单价以上（低于门店平均客单，此分为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）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服从店长工作安排，主动完成店堂内责任区域的清洁卫生，商品陈列，货品管理；执行力强！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主动完成店长安排的来货上架，借货、送货等工作。（未执行一次扣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??_GB2312" w:hAnsi="??_GB2312" w:eastAsia="宋体" w:cs="??_GB2312"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严格遵循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顾客第一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”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的理念，能很好的处理与各种顾客之间的关系，懂得察言观色，有能力建立和维护良好的客情关系，有忠实的顾客至少</w:t>
            </w:r>
            <w:r>
              <w:rPr>
                <w:rFonts w:ascii="??_GB2312" w:hAnsi="??_GB2312" w:cs="??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0"/>
                <w:szCs w:val="20"/>
                <w:lang w:eastAsia="zh-CN"/>
              </w:rPr>
              <w:t>！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全月无顾客投诉。如当月有顾客投诉，每投诉一次，此项为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宋体" w:hAnsi="宋体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所属区域卫生干净整洁，片区包括营运部检查，符合要求。如果营运部及片区检查不合格，该项不得分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重点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品种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任务完成，一项未完成扣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  <w:lang w:val="en-US" w:eastAsia="zh-CN"/>
              </w:rPr>
              <w:t>(易善复、定坤丹、锌钙特)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三项都未完成，不得分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店员个人当月销售完成率低于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eastAsia="zh-CN"/>
              </w:rPr>
              <w:t>个人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任务的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以下，该项不得分（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当柜人员的效期管理，</w:t>
            </w:r>
            <w:r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个月内效期品种未及时下柜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(否决项，如有以上情况，绩效分扣50分)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店长转发万店掌内容未按时整改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  <w:t xml:space="preserve"> 店员执行力（灵活项目，由店长根据店员平时执行情况进行加减分，最高可扣20分）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FF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95</w:t>
            </w:r>
            <w:bookmarkStart w:id="0" w:name="_GoBack"/>
            <w:bookmarkEnd w:id="0"/>
          </w:p>
        </w:tc>
      </w:tr>
    </w:tbl>
    <w:p/>
    <w:p/>
    <w:p>
      <w:r>
        <w:rPr>
          <w:rFonts w:hint="eastAsia"/>
        </w:rPr>
        <w:t>考评人（店长）：被考评人：</w:t>
      </w:r>
    </w:p>
    <w:p/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FB47FE"/>
    <w:rsid w:val="40264B0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2019-10-27T23:56:04Z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