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大邑县晋原镇内蒙古大道桃源药店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大邑县成都市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：大邑县晋原镇内蒙古大道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36号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CB0284753(13)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91510129569659715U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生化药品、中药材、中药饮片、生物制品（不含预防性生物制品）、中成药、化学药制剂、抗生素制剂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年1月1日——201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年12月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高亚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田兰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：澳柯玛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虽然有销售血液制品的经营资质，但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2018.1.1-2018.12.31日没有购进和销售任何血液制品，但是本店有销售胰岛素及生物制品妈咪爱和金双歧。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我店2018年生物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、胰岛素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精蛋白锌重组人胰岛素注射液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  <w:t xml:space="preserve">3ml：300单位 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eastAsia="zh-CN"/>
              </w:rPr>
              <w:t>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eastAsia="zh-CN"/>
              </w:rPr>
              <w:t>来苏州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eastAsia="zh-CN"/>
              </w:rPr>
              <w:t>支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2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1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枯草杆菌二联活菌颗粒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  <w:t>1g*30袋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北京韩美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69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73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双歧杆菌三联活菌片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24s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内蒙古双奇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eastAsia="zh-CN"/>
              </w:rPr>
              <w:t>盒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30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54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181717" w:themeColor="background2" w:themeShade="19"/>
                <w:kern w:val="0"/>
                <w:sz w:val="24"/>
                <w:szCs w:val="24"/>
                <w:highlight w:val="green"/>
                <w:lang w:val="en-US" w:eastAsia="zh-CN"/>
              </w:rPr>
              <w:t>6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大邑县晋原镇内蒙古大道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）要求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57D2"/>
    <w:rsid w:val="00156D82"/>
    <w:rsid w:val="0043011E"/>
    <w:rsid w:val="00A2118F"/>
    <w:rsid w:val="00DA2570"/>
    <w:rsid w:val="00FE4903"/>
    <w:rsid w:val="03E40213"/>
    <w:rsid w:val="04194BC3"/>
    <w:rsid w:val="05BF5FF0"/>
    <w:rsid w:val="0CE957D2"/>
    <w:rsid w:val="144764E8"/>
    <w:rsid w:val="1BD4374E"/>
    <w:rsid w:val="1D4340B9"/>
    <w:rsid w:val="29BE057E"/>
    <w:rsid w:val="2CD22119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  <w:rsid w:val="6C8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44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Administrator</cp:lastModifiedBy>
  <cp:lastPrinted>2018-01-09T02:34:00Z</cp:lastPrinted>
  <dcterms:modified xsi:type="dcterms:W3CDTF">2019-01-08T08:23:36Z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