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城郊一片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：邛崃羊安店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店长签名：李雪梅</w:t>
      </w:r>
      <w:r>
        <w:rPr>
          <w:rFonts w:hint="eastAsia"/>
          <w:sz w:val="24"/>
          <w:szCs w:val="24"/>
          <w:lang w:val="en-US" w:eastAsia="zh-CN"/>
        </w:rPr>
        <w:t xml:space="preserve">  闵雪                               自查日期：2018-5-20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09276C5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2018-05-20T08:57:10Z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