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89" w:type="dxa"/>
        <w:jc w:val="center"/>
        <w:tblCellSpacing w:w="0" w:type="dxa"/>
        <w:tblInd w:w="-319" w:type="dxa"/>
        <w:tblCellMar>
          <w:left w:w="0" w:type="dxa"/>
          <w:right w:w="0" w:type="dxa"/>
        </w:tblCellMar>
        <w:tblLook w:val="04A0" w:firstRow="1" w:lastRow="0" w:firstColumn="1" w:lastColumn="0" w:noHBand="0" w:noVBand="1"/>
      </w:tblPr>
      <w:tblGrid>
        <w:gridCol w:w="11389"/>
      </w:tblGrid>
      <w:tr w:rsidR="00D346C4" w:rsidRPr="00D346C4" w:rsidTr="00084202">
        <w:trPr>
          <w:trHeight w:val="7500"/>
          <w:tblCellSpacing w:w="0" w:type="dxa"/>
          <w:jc w:val="center"/>
        </w:trPr>
        <w:tc>
          <w:tcPr>
            <w:tcW w:w="11389" w:type="dxa"/>
            <w:tcMar>
              <w:top w:w="450" w:type="dxa"/>
              <w:left w:w="0" w:type="dxa"/>
              <w:bottom w:w="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11389"/>
            </w:tblGrid>
            <w:tr w:rsidR="00D346C4" w:rsidRPr="00D346C4">
              <w:trPr>
                <w:tblCellSpacing w:w="0" w:type="dxa"/>
                <w:jc w:val="center"/>
              </w:trPr>
              <w:tc>
                <w:tcPr>
                  <w:tcW w:w="0" w:type="auto"/>
                  <w:tcMar>
                    <w:top w:w="30" w:type="dxa"/>
                    <w:left w:w="0" w:type="dxa"/>
                    <w:bottom w:w="150" w:type="dxa"/>
                    <w:right w:w="0" w:type="dxa"/>
                  </w:tcMar>
                  <w:vAlign w:val="center"/>
                  <w:hideMark/>
                </w:tcPr>
                <w:p w:rsidR="00D346C4" w:rsidRPr="00D346C4" w:rsidRDefault="00D346C4" w:rsidP="00D346C4">
                  <w:pPr>
                    <w:widowControl/>
                    <w:spacing w:line="360" w:lineRule="auto"/>
                    <w:jc w:val="center"/>
                    <w:rPr>
                      <w:rFonts w:asciiTheme="minorEastAsia" w:hAnsiTheme="minorEastAsia" w:cs="Arial"/>
                      <w:b/>
                      <w:bCs/>
                      <w:color w:val="093A96"/>
                      <w:kern w:val="0"/>
                      <w:sz w:val="28"/>
                      <w:szCs w:val="28"/>
                    </w:rPr>
                  </w:pPr>
                  <w:r w:rsidRPr="00D346C4">
                    <w:rPr>
                      <w:rFonts w:asciiTheme="minorEastAsia" w:hAnsiTheme="minorEastAsia" w:cs="Arial"/>
                      <w:b/>
                      <w:bCs/>
                      <w:color w:val="093A96"/>
                      <w:kern w:val="0"/>
                      <w:sz w:val="28"/>
                      <w:szCs w:val="28"/>
                    </w:rPr>
                    <w:t xml:space="preserve">总局办公厅关于做好2018年元旦春节期间食品药品监管有关工作的通知 </w:t>
                  </w:r>
                </w:p>
              </w:tc>
            </w:tr>
            <w:tr w:rsidR="00D346C4" w:rsidRPr="00D346C4">
              <w:trPr>
                <w:tblCellSpacing w:w="0" w:type="dxa"/>
                <w:jc w:val="center"/>
              </w:trPr>
              <w:tc>
                <w:tcPr>
                  <w:tcW w:w="0" w:type="auto"/>
                  <w:vAlign w:val="center"/>
                  <w:hideMark/>
                </w:tcPr>
                <w:p w:rsidR="00D346C4" w:rsidRPr="00D346C4" w:rsidRDefault="00D346C4" w:rsidP="00D346C4">
                  <w:pPr>
                    <w:widowControl/>
                    <w:spacing w:line="480" w:lineRule="auto"/>
                    <w:jc w:val="center"/>
                    <w:rPr>
                      <w:rFonts w:asciiTheme="minorEastAsia" w:hAnsiTheme="minorEastAsia" w:cs="Arial"/>
                      <w:b/>
                      <w:bCs/>
                      <w:color w:val="093A96"/>
                      <w:kern w:val="0"/>
                      <w:sz w:val="28"/>
                      <w:szCs w:val="28"/>
                    </w:rPr>
                  </w:pPr>
                  <w:r w:rsidRPr="00D346C4">
                    <w:rPr>
                      <w:rFonts w:asciiTheme="minorEastAsia" w:hAnsiTheme="minorEastAsia" w:cs="Arial"/>
                      <w:b/>
                      <w:bCs/>
                      <w:color w:val="093A96"/>
                      <w:kern w:val="0"/>
                      <w:sz w:val="28"/>
                      <w:szCs w:val="28"/>
                    </w:rPr>
                    <w:t xml:space="preserve">食药监办〔2017〕183号 </w:t>
                  </w:r>
                  <w:r w:rsidRPr="00D346C4">
                    <w:rPr>
                      <w:rFonts w:asciiTheme="minorEastAsia" w:hAnsiTheme="minorEastAsia" w:cs="Arial"/>
                      <w:b/>
                      <w:bCs/>
                      <w:color w:val="093A96"/>
                      <w:kern w:val="0"/>
                      <w:sz w:val="28"/>
                      <w:szCs w:val="28"/>
                    </w:rPr>
                    <w:pict/>
                  </w:r>
                  <w:r w:rsidRPr="00D346C4">
                    <w:rPr>
                      <w:rFonts w:asciiTheme="minorEastAsia" w:hAnsiTheme="minorEastAsia" w:cs="Arial"/>
                      <w:b/>
                      <w:bCs/>
                      <w:color w:val="093A96"/>
                      <w:kern w:val="0"/>
                      <w:sz w:val="28"/>
                      <w:szCs w:val="28"/>
                    </w:rPr>
                    <w:pict/>
                  </w:r>
                  <w:r w:rsidRPr="00D346C4">
                    <w:rPr>
                      <w:rFonts w:asciiTheme="minorEastAsia" w:hAnsiTheme="minorEastAsia" w:cs="Arial"/>
                      <w:b/>
                      <w:bCs/>
                      <w:color w:val="093A96"/>
                      <w:kern w:val="0"/>
                      <w:sz w:val="28"/>
                      <w:szCs w:val="28"/>
                    </w:rPr>
                    <w:pict/>
                  </w:r>
                  <w:r w:rsidRPr="00D346C4">
                    <w:rPr>
                      <w:rFonts w:asciiTheme="minorEastAsia" w:hAnsiTheme="minorEastAsia" w:cs="Arial"/>
                      <w:b/>
                      <w:bCs/>
                      <w:color w:val="093A96"/>
                      <w:kern w:val="0"/>
                      <w:sz w:val="28"/>
                      <w:szCs w:val="28"/>
                    </w:rPr>
                    <w:pict/>
                  </w:r>
                </w:p>
              </w:tc>
            </w:tr>
            <w:tr w:rsidR="00D346C4" w:rsidRPr="00D346C4">
              <w:trPr>
                <w:tblCellSpacing w:w="0" w:type="dxa"/>
                <w:jc w:val="center"/>
              </w:trPr>
              <w:tc>
                <w:tcPr>
                  <w:tcW w:w="0" w:type="auto"/>
                  <w:vAlign w:val="center"/>
                  <w:hideMark/>
                </w:tcPr>
                <w:tbl>
                  <w:tblPr>
                    <w:tblW w:w="0" w:type="auto"/>
                    <w:jc w:val="right"/>
                    <w:tblCellSpacing w:w="15" w:type="dxa"/>
                    <w:tblCellMar>
                      <w:left w:w="0" w:type="dxa"/>
                      <w:right w:w="0" w:type="dxa"/>
                    </w:tblCellMar>
                    <w:tblLook w:val="04A0" w:firstRow="1" w:lastRow="0" w:firstColumn="1" w:lastColumn="0" w:noHBand="0" w:noVBand="1"/>
                  </w:tblPr>
                  <w:tblGrid>
                    <w:gridCol w:w="765"/>
                    <w:gridCol w:w="2465"/>
                  </w:tblGrid>
                  <w:tr w:rsidR="00D346C4" w:rsidRPr="00D346C4">
                    <w:trPr>
                      <w:tblCellSpacing w:w="15" w:type="dxa"/>
                      <w:jc w:val="right"/>
                    </w:trPr>
                    <w:tc>
                      <w:tcPr>
                        <w:tcW w:w="0" w:type="auto"/>
                        <w:tcMar>
                          <w:top w:w="60" w:type="dxa"/>
                          <w:left w:w="0" w:type="dxa"/>
                          <w:bottom w:w="0" w:type="dxa"/>
                          <w:right w:w="0" w:type="dxa"/>
                        </w:tcMar>
                        <w:vAlign w:val="center"/>
                        <w:hideMark/>
                      </w:tcPr>
                      <w:p w:rsidR="00D346C4" w:rsidRPr="00D346C4" w:rsidRDefault="00D346C4" w:rsidP="00D346C4">
                        <w:pPr>
                          <w:widowControl/>
                          <w:spacing w:line="408" w:lineRule="auto"/>
                          <w:jc w:val="left"/>
                          <w:rPr>
                            <w:rFonts w:asciiTheme="minorEastAsia" w:hAnsiTheme="minorEastAsia" w:cs="Arial"/>
                            <w:kern w:val="0"/>
                            <w:sz w:val="28"/>
                            <w:szCs w:val="28"/>
                          </w:rPr>
                        </w:pPr>
                        <w:r w:rsidRPr="00D346C4">
                          <w:rPr>
                            <w:rFonts w:asciiTheme="minorEastAsia" w:hAnsiTheme="minorEastAsia" w:cs="Arial" w:hint="eastAsia"/>
                            <w:noProof/>
                            <w:kern w:val="0"/>
                            <w:sz w:val="28"/>
                            <w:szCs w:val="28"/>
                          </w:rPr>
                          <w:drawing>
                            <wp:inline distT="0" distB="0" distL="0" distR="0" wp14:anchorId="1E7653A4" wp14:editId="3C7383EF">
                              <wp:extent cx="228600" cy="228600"/>
                              <wp:effectExtent l="0" t="0" r="0" b="0"/>
                              <wp:docPr id="1" name="btnDown"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nDown" descr="下载"/>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346C4">
                          <w:rPr>
                            <w:rFonts w:asciiTheme="minorEastAsia" w:hAnsiTheme="minorEastAsia" w:cs="Arial" w:hint="eastAsia"/>
                            <w:noProof/>
                            <w:kern w:val="0"/>
                            <w:sz w:val="28"/>
                            <w:szCs w:val="28"/>
                          </w:rPr>
                          <w:drawing>
                            <wp:inline distT="0" distB="0" distL="0" distR="0" wp14:anchorId="36993AFF" wp14:editId="2F7913F1">
                              <wp:extent cx="228600" cy="228600"/>
                              <wp:effectExtent l="0" t="0" r="0" b="0"/>
                              <wp:docPr id="2" name="btnPrint" descr="打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nPrint" descr="打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D346C4" w:rsidRPr="00D346C4" w:rsidRDefault="00D346C4" w:rsidP="00D346C4">
                        <w:pPr>
                          <w:widowControl/>
                          <w:spacing w:line="408" w:lineRule="auto"/>
                          <w:jc w:val="left"/>
                          <w:rPr>
                            <w:rFonts w:asciiTheme="minorEastAsia" w:hAnsiTheme="minorEastAsia" w:cs="Arial"/>
                            <w:kern w:val="0"/>
                            <w:sz w:val="28"/>
                            <w:szCs w:val="28"/>
                          </w:rPr>
                        </w:pPr>
                        <w:r w:rsidRPr="00D346C4">
                          <w:rPr>
                            <w:rFonts w:asciiTheme="minorEastAsia" w:hAnsiTheme="minorEastAsia" w:cs="Arial"/>
                            <w:kern w:val="0"/>
                            <w:sz w:val="28"/>
                            <w:szCs w:val="28"/>
                          </w:rPr>
                          <w:t xml:space="preserve">    </w:t>
                        </w:r>
                        <w:r w:rsidRPr="00D346C4">
                          <w:rPr>
                            <w:rFonts w:asciiTheme="minorEastAsia" w:hAnsiTheme="minorEastAsia" w:cs="Arial" w:hint="eastAsia"/>
                            <w:noProof/>
                            <w:color w:val="3A3A3A"/>
                            <w:kern w:val="0"/>
                            <w:sz w:val="28"/>
                            <w:szCs w:val="28"/>
                          </w:rPr>
                          <w:drawing>
                            <wp:inline distT="0" distB="0" distL="0" distR="0" wp14:anchorId="52FECD15" wp14:editId="140E71E1">
                              <wp:extent cx="228600" cy="228600"/>
                              <wp:effectExtent l="0" t="0" r="0" b="0"/>
                              <wp:docPr id="3" name="图片 3" descr="分享到新浪微博">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分享到新浪微博">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346C4">
                          <w:rPr>
                            <w:rFonts w:asciiTheme="minorEastAsia" w:hAnsiTheme="minorEastAsia" w:cs="Arial" w:hint="eastAsia"/>
                            <w:noProof/>
                            <w:color w:val="3A3A3A"/>
                            <w:kern w:val="0"/>
                            <w:sz w:val="28"/>
                            <w:szCs w:val="28"/>
                          </w:rPr>
                          <w:drawing>
                            <wp:inline distT="0" distB="0" distL="0" distR="0" wp14:anchorId="093370A6" wp14:editId="157554B8">
                              <wp:extent cx="228600" cy="228600"/>
                              <wp:effectExtent l="0" t="0" r="0" b="0"/>
                              <wp:docPr id="4" name="图片 4" descr="分享到腾讯微博">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分享到腾讯微博">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346C4">
                          <w:rPr>
                            <w:rFonts w:asciiTheme="minorEastAsia" w:hAnsiTheme="minorEastAsia" w:cs="Arial" w:hint="eastAsia"/>
                            <w:noProof/>
                            <w:color w:val="3A3A3A"/>
                            <w:kern w:val="0"/>
                            <w:sz w:val="28"/>
                            <w:szCs w:val="28"/>
                          </w:rPr>
                          <w:drawing>
                            <wp:inline distT="0" distB="0" distL="0" distR="0" wp14:anchorId="513FC41A" wp14:editId="1652E833">
                              <wp:extent cx="228600" cy="228600"/>
                              <wp:effectExtent l="0" t="0" r="0" b="0"/>
                              <wp:docPr id="5" name="图片 5" descr="分享到QQ空间">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分享到QQ空间">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346C4">
                          <w:rPr>
                            <w:rFonts w:asciiTheme="minorEastAsia" w:hAnsiTheme="minorEastAsia" w:cs="Arial" w:hint="eastAsia"/>
                            <w:noProof/>
                            <w:color w:val="3A3A3A"/>
                            <w:kern w:val="0"/>
                            <w:sz w:val="28"/>
                            <w:szCs w:val="28"/>
                          </w:rPr>
                          <w:drawing>
                            <wp:inline distT="0" distB="0" distL="0" distR="0" wp14:anchorId="05A29C56" wp14:editId="4A543E5F">
                              <wp:extent cx="228600" cy="228600"/>
                              <wp:effectExtent l="0" t="0" r="0" b="0"/>
                              <wp:docPr id="6" name="图片 6" descr="分享到微信">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分享到微信">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D346C4" w:rsidRPr="00D346C4" w:rsidRDefault="00D346C4" w:rsidP="00D346C4">
                  <w:pPr>
                    <w:widowControl/>
                    <w:spacing w:line="408" w:lineRule="auto"/>
                    <w:jc w:val="right"/>
                    <w:rPr>
                      <w:rFonts w:asciiTheme="minorEastAsia" w:hAnsiTheme="minorEastAsia" w:cs="Arial"/>
                      <w:kern w:val="0"/>
                      <w:sz w:val="28"/>
                      <w:szCs w:val="28"/>
                    </w:rPr>
                  </w:pPr>
                  <w:r w:rsidRPr="00D346C4">
                    <w:rPr>
                      <w:rFonts w:asciiTheme="minorEastAsia" w:hAnsiTheme="minorEastAsia" w:cs="Arial"/>
                      <w:kern w:val="0"/>
                      <w:sz w:val="28"/>
                      <w:szCs w:val="28"/>
                    </w:rPr>
                    <w:pict/>
                  </w:r>
                </w:p>
              </w:tc>
            </w:tr>
            <w:tr w:rsidR="00D346C4" w:rsidRPr="00D346C4">
              <w:trPr>
                <w:tblCellSpacing w:w="0" w:type="dxa"/>
                <w:jc w:val="center"/>
              </w:trPr>
              <w:tc>
                <w:tcPr>
                  <w:tcW w:w="0" w:type="auto"/>
                  <w:tcMar>
                    <w:top w:w="120" w:type="dxa"/>
                    <w:left w:w="0" w:type="dxa"/>
                    <w:bottom w:w="0" w:type="dxa"/>
                    <w:right w:w="0" w:type="dxa"/>
                  </w:tcMar>
                  <w:vAlign w:val="center"/>
                  <w:hideMark/>
                </w:tcPr>
                <w:p w:rsidR="00D346C4" w:rsidRPr="00D346C4" w:rsidRDefault="00D346C4" w:rsidP="00D346C4">
                  <w:pPr>
                    <w:widowControl/>
                    <w:spacing w:line="360" w:lineRule="auto"/>
                    <w:jc w:val="right"/>
                    <w:rPr>
                      <w:rFonts w:asciiTheme="minorEastAsia" w:hAnsiTheme="minorEastAsia" w:cs="Arial"/>
                      <w:color w:val="919191"/>
                      <w:kern w:val="0"/>
                      <w:sz w:val="28"/>
                      <w:szCs w:val="28"/>
                    </w:rPr>
                  </w:pPr>
                  <w:r w:rsidRPr="00D346C4">
                    <w:rPr>
                      <w:rFonts w:asciiTheme="minorEastAsia" w:hAnsiTheme="minorEastAsia" w:cs="Arial"/>
                      <w:color w:val="919191"/>
                      <w:kern w:val="0"/>
                      <w:sz w:val="28"/>
                      <w:szCs w:val="28"/>
                    </w:rPr>
                    <w:t xml:space="preserve">2017年12月28日 发布 </w:t>
                  </w:r>
                </w:p>
              </w:tc>
            </w:tr>
            <w:tr w:rsidR="00D346C4" w:rsidRPr="00D346C4">
              <w:trPr>
                <w:trHeight w:val="60"/>
                <w:tblCellSpacing w:w="0" w:type="dxa"/>
                <w:jc w:val="center"/>
              </w:trPr>
              <w:tc>
                <w:tcPr>
                  <w:tcW w:w="5000" w:type="pct"/>
                  <w:vAlign w:val="center"/>
                  <w:hideMark/>
                </w:tcPr>
                <w:p w:rsidR="00D346C4" w:rsidRPr="00D346C4" w:rsidRDefault="00D346C4" w:rsidP="00D346C4">
                  <w:pPr>
                    <w:widowControl/>
                    <w:spacing w:line="408" w:lineRule="auto"/>
                    <w:jc w:val="center"/>
                    <w:rPr>
                      <w:rFonts w:asciiTheme="minorEastAsia" w:hAnsiTheme="minorEastAsia" w:cs="Arial"/>
                      <w:color w:val="000000"/>
                      <w:kern w:val="0"/>
                      <w:sz w:val="28"/>
                      <w:szCs w:val="28"/>
                    </w:rPr>
                  </w:pPr>
                </w:p>
              </w:tc>
            </w:tr>
            <w:tr w:rsidR="00D346C4" w:rsidRPr="00D346C4">
              <w:trPr>
                <w:tblCellSpacing w:w="0" w:type="dxa"/>
                <w:jc w:val="center"/>
              </w:trPr>
              <w:tc>
                <w:tcPr>
                  <w:tcW w:w="0" w:type="auto"/>
                  <w:tcMar>
                    <w:top w:w="300" w:type="dxa"/>
                    <w:left w:w="0" w:type="dxa"/>
                    <w:bottom w:w="0" w:type="dxa"/>
                    <w:right w:w="0" w:type="dxa"/>
                  </w:tcMar>
                  <w:vAlign w:val="center"/>
                  <w:hideMark/>
                </w:tcPr>
                <w:p w:rsidR="00D346C4" w:rsidRPr="00D346C4" w:rsidRDefault="00D346C4" w:rsidP="00D346C4">
                  <w:pPr>
                    <w:widowControl/>
                    <w:spacing w:before="100" w:beforeAutospacing="1" w:after="100" w:afterAutospacing="1" w:line="480" w:lineRule="auto"/>
                    <w:jc w:val="left"/>
                    <w:rPr>
                      <w:rFonts w:asciiTheme="minorEastAsia" w:hAnsiTheme="minorEastAsia" w:cs="Arial"/>
                      <w:color w:val="000000"/>
                      <w:kern w:val="0"/>
                      <w:sz w:val="28"/>
                      <w:szCs w:val="28"/>
                    </w:rPr>
                  </w:pPr>
                  <w:r w:rsidRPr="00D346C4">
                    <w:rPr>
                      <w:rFonts w:asciiTheme="minorEastAsia" w:hAnsiTheme="minorEastAsia" w:cs="Arial"/>
                      <w:color w:val="000000"/>
                      <w:kern w:val="0"/>
                      <w:sz w:val="28"/>
                      <w:szCs w:val="28"/>
                    </w:rPr>
                    <w:t xml:space="preserve">各省、自治区、直辖市食品药品监督管理局，新疆生产建设兵团食品药品监督管理局: </w:t>
                  </w:r>
                  <w:r w:rsidRPr="00D346C4">
                    <w:rPr>
                      <w:rFonts w:asciiTheme="minorEastAsia" w:hAnsiTheme="minorEastAsia" w:cs="Arial"/>
                      <w:color w:val="000000"/>
                      <w:kern w:val="0"/>
                      <w:sz w:val="28"/>
                      <w:szCs w:val="28"/>
                    </w:rPr>
                    <w:br/>
                    <w:t xml:space="preserve">　　为贯彻落实中共中央办公厅国务院办公厅《关于做好2018年元旦春节期间有关工作的通知》（中办发电〔2017〕112号）精神，做好2018年元旦、春节（以下简称“两节”）期间的食品药品监管工作，切实保障人民群众饮食用药安全，维护欢乐、祥和、平安的节日气氛，现就有关要求通知如下： </w:t>
                  </w:r>
                </w:p>
                <w:p w:rsidR="00D346C4" w:rsidRPr="00D346C4" w:rsidRDefault="00D346C4" w:rsidP="00D346C4">
                  <w:pPr>
                    <w:widowControl/>
                    <w:spacing w:before="100" w:beforeAutospacing="1" w:after="100" w:afterAutospacing="1" w:line="480" w:lineRule="auto"/>
                    <w:jc w:val="left"/>
                    <w:rPr>
                      <w:rFonts w:asciiTheme="minorEastAsia" w:hAnsiTheme="minorEastAsia" w:cs="Arial"/>
                      <w:color w:val="000000"/>
                      <w:kern w:val="0"/>
                      <w:sz w:val="28"/>
                      <w:szCs w:val="28"/>
                    </w:rPr>
                  </w:pPr>
                  <w:r w:rsidRPr="00D346C4">
                    <w:rPr>
                      <w:rFonts w:asciiTheme="minorEastAsia" w:hAnsiTheme="minorEastAsia" w:cs="Arial"/>
                      <w:color w:val="000000"/>
                      <w:kern w:val="0"/>
                      <w:sz w:val="28"/>
                      <w:szCs w:val="28"/>
                    </w:rPr>
                    <w:t xml:space="preserve">　　</w:t>
                  </w:r>
                  <w:r w:rsidRPr="00D346C4">
                    <w:rPr>
                      <w:rFonts w:asciiTheme="minorEastAsia" w:hAnsiTheme="minorEastAsia" w:cs="Arial"/>
                      <w:b/>
                      <w:bCs/>
                      <w:color w:val="000000"/>
                      <w:kern w:val="0"/>
                      <w:sz w:val="28"/>
                      <w:szCs w:val="28"/>
                    </w:rPr>
                    <w:t>一、加强节前和节日期间食品监督检查</w:t>
                  </w:r>
                </w:p>
                <w:p w:rsidR="00D346C4" w:rsidRPr="00D346C4" w:rsidRDefault="00D346C4" w:rsidP="00D346C4">
                  <w:pPr>
                    <w:widowControl/>
                    <w:spacing w:before="100" w:beforeAutospacing="1" w:after="100" w:afterAutospacing="1" w:line="480" w:lineRule="auto"/>
                    <w:jc w:val="left"/>
                    <w:rPr>
                      <w:rFonts w:asciiTheme="minorEastAsia" w:hAnsiTheme="minorEastAsia" w:cs="Arial"/>
                      <w:color w:val="000000"/>
                      <w:kern w:val="0"/>
                      <w:sz w:val="28"/>
                      <w:szCs w:val="28"/>
                    </w:rPr>
                  </w:pPr>
                  <w:r w:rsidRPr="00D346C4">
                    <w:rPr>
                      <w:rFonts w:asciiTheme="minorEastAsia" w:hAnsiTheme="minorEastAsia" w:cs="Arial"/>
                      <w:color w:val="000000"/>
                      <w:kern w:val="0"/>
                      <w:sz w:val="28"/>
                      <w:szCs w:val="28"/>
                    </w:rPr>
                    <w:t xml:space="preserve">　　（一）加强重点品种和重点区域食品安全监管。针对“两节”期间消费特点，以米面粮油、肉制品、水产品、乳制品、酒类、保健食品、饮料、茶叶、调味品、糕点等为重点品种，以食品生产集聚区、集贸市场、商场超市、旅游景区、城乡结合部、农村地区等为重点区域，加大日常监督检查和专项抽检力度，加强食品安全风险排查和食品安全隐患综合治理，深入开展食用农产品批发市场治理和畜禽水产品抗生素、禁用化合物及兽药残留超标专项整治，严防不合格食品流向餐桌。</w:t>
                  </w:r>
                  <w:r w:rsidRPr="00D346C4">
                    <w:rPr>
                      <w:rFonts w:asciiTheme="minorEastAsia" w:hAnsiTheme="minorEastAsia" w:cs="Arial"/>
                      <w:color w:val="000000"/>
                      <w:kern w:val="0"/>
                      <w:sz w:val="28"/>
                      <w:szCs w:val="28"/>
                    </w:rPr>
                    <w:br/>
                    <w:t xml:space="preserve">　　（二）加强节日热销食品、民俗特色食品和节日餐饮服务监督检查。重点开展食品批发市场、集贸市场、食品展销会、庙会、农家乐等场所的节日热销食品和民俗特色食品的监督检查，</w:t>
                  </w:r>
                  <w:r w:rsidRPr="00D346C4">
                    <w:rPr>
                      <w:rFonts w:asciiTheme="minorEastAsia" w:hAnsiTheme="minorEastAsia" w:cs="Arial"/>
                      <w:color w:val="000000"/>
                      <w:kern w:val="0"/>
                      <w:sz w:val="28"/>
                      <w:szCs w:val="28"/>
                    </w:rPr>
                    <w:lastRenderedPageBreak/>
                    <w:t>加强中央厨房、集体用餐配送单位、学校食堂、养老院食堂、连锁餐饮企业、旅游定点接待单位、农家乐、年夜饭供餐单位等重点单位的节日餐饮服务监督检查，严格落实食品经营者进货查验记录制度，强化食品经营者主体责任，规范食品加工行为，严防食物中毒的发生。</w:t>
                  </w:r>
                  <w:r w:rsidRPr="00D346C4">
                    <w:rPr>
                      <w:rFonts w:asciiTheme="minorEastAsia" w:hAnsiTheme="minorEastAsia" w:cs="Arial"/>
                      <w:color w:val="000000"/>
                      <w:kern w:val="0"/>
                      <w:sz w:val="28"/>
                      <w:szCs w:val="28"/>
                    </w:rPr>
                    <w:br/>
                    <w:t xml:space="preserve">　　（三）加强食品、保健食品虚假夸大宣传等违法违规行为监督检查。要以日常监管和抽检监测中发现的问题较多、风险度高的品种为重点，按照全国食品、保健食品欺诈和虚假宣传整治工作部署安排，进一步对食品、保健食品标签、说明书、广告虚假夸大宣传等违法违规行为加大监督检查力度，严厉查处不合格产品。同时，做好“两节”期间保健食品消费提示宣传推广，指导消费者科学、合理选购保健食品。</w:t>
                  </w:r>
                </w:p>
                <w:p w:rsidR="00D346C4" w:rsidRPr="00D346C4" w:rsidRDefault="00D346C4" w:rsidP="00D346C4">
                  <w:pPr>
                    <w:widowControl/>
                    <w:spacing w:before="100" w:beforeAutospacing="1" w:after="100" w:afterAutospacing="1" w:line="480" w:lineRule="auto"/>
                    <w:jc w:val="left"/>
                    <w:rPr>
                      <w:rFonts w:asciiTheme="minorEastAsia" w:hAnsiTheme="minorEastAsia" w:cs="Arial"/>
                      <w:color w:val="000000"/>
                      <w:kern w:val="0"/>
                      <w:sz w:val="28"/>
                      <w:szCs w:val="28"/>
                    </w:rPr>
                  </w:pPr>
                  <w:r w:rsidRPr="00D346C4">
                    <w:rPr>
                      <w:rFonts w:asciiTheme="minorEastAsia" w:hAnsiTheme="minorEastAsia" w:cs="Arial"/>
                      <w:color w:val="000000"/>
                      <w:kern w:val="0"/>
                      <w:sz w:val="28"/>
                      <w:szCs w:val="28"/>
                    </w:rPr>
                    <w:t xml:space="preserve">　</w:t>
                  </w:r>
                  <w:r w:rsidRPr="00D346C4">
                    <w:rPr>
                      <w:rFonts w:asciiTheme="minorEastAsia" w:hAnsiTheme="minorEastAsia" w:cs="Arial"/>
                      <w:b/>
                      <w:bCs/>
                      <w:color w:val="000000"/>
                      <w:kern w:val="0"/>
                      <w:sz w:val="28"/>
                      <w:szCs w:val="28"/>
                    </w:rPr>
                    <w:t xml:space="preserve">　二、加强节前和节日期间药品、医疗器械、化妆品监督检查</w:t>
                  </w:r>
                </w:p>
                <w:p w:rsidR="00D346C4" w:rsidRPr="00D346C4" w:rsidRDefault="00D346C4" w:rsidP="00D346C4">
                  <w:pPr>
                    <w:widowControl/>
                    <w:spacing w:before="100" w:beforeAutospacing="1" w:after="100" w:afterAutospacing="1" w:line="480" w:lineRule="auto"/>
                    <w:jc w:val="left"/>
                    <w:rPr>
                      <w:rFonts w:asciiTheme="minorEastAsia" w:hAnsiTheme="minorEastAsia" w:cs="Arial"/>
                      <w:color w:val="000000"/>
                      <w:kern w:val="0"/>
                      <w:sz w:val="28"/>
                      <w:szCs w:val="28"/>
                    </w:rPr>
                  </w:pPr>
                  <w:r w:rsidRPr="00D346C4">
                    <w:rPr>
                      <w:rFonts w:asciiTheme="minorEastAsia" w:hAnsiTheme="minorEastAsia" w:cs="Arial"/>
                      <w:color w:val="000000"/>
                      <w:kern w:val="0"/>
                      <w:sz w:val="28"/>
                      <w:szCs w:val="28"/>
                    </w:rPr>
                    <w:t xml:space="preserve">　　（一）突出重点区域、重点产品，加强药品、医疗器械流通监管。以旅游景区、车站、码头、城乡结合部、农村为重点区域，在药品日常监管基础上，强化对药品购进渠道、冷链管理等药品质量安全风险点进行重点检查，着力加强对药品流通、使用环节主渠道的监督检查，严厉打击从非法渠道购进药品等违法违规行为，防止假冒伪劣药品流入市场和特殊药品从药用渠道流失；进一步强化重点区域医疗器械零售企业的监督检查。按照现行互联网销售监管要求，做好“两节”期间网络药品、医疗器械销售的监管工作。</w:t>
                  </w:r>
                  <w:r w:rsidRPr="00D346C4">
                    <w:rPr>
                      <w:rFonts w:asciiTheme="minorEastAsia" w:hAnsiTheme="minorEastAsia" w:cs="Arial"/>
                      <w:color w:val="000000"/>
                      <w:kern w:val="0"/>
                      <w:sz w:val="28"/>
                      <w:szCs w:val="28"/>
                    </w:rPr>
                    <w:br/>
                    <w:t xml:space="preserve">　　（二）加强药品不良反应和医疗器械不良事件监测。要对药品不良事件聚集性信号和医疗器械严重不良事件进行实时监测。加强对高风险性、关注度高、量大面广的医疗器械不良事件的监测，坚持早发现、早预警、早处理，及时回应社会关切，把问题消灭在萌芽阶段，坚决防范和有效杜绝群体性危害事件的发生。</w:t>
                  </w:r>
                </w:p>
                <w:p w:rsidR="00D346C4" w:rsidRPr="00D346C4" w:rsidRDefault="00D346C4" w:rsidP="00D346C4">
                  <w:pPr>
                    <w:widowControl/>
                    <w:spacing w:before="100" w:beforeAutospacing="1" w:after="100" w:afterAutospacing="1" w:line="480" w:lineRule="auto"/>
                    <w:jc w:val="left"/>
                    <w:rPr>
                      <w:rFonts w:asciiTheme="minorEastAsia" w:hAnsiTheme="minorEastAsia" w:cs="Arial"/>
                      <w:color w:val="000000"/>
                      <w:kern w:val="0"/>
                      <w:sz w:val="28"/>
                      <w:szCs w:val="28"/>
                    </w:rPr>
                  </w:pPr>
                  <w:r w:rsidRPr="00D346C4">
                    <w:rPr>
                      <w:rFonts w:asciiTheme="minorEastAsia" w:hAnsiTheme="minorEastAsia" w:cs="Arial"/>
                      <w:color w:val="000000"/>
                      <w:kern w:val="0"/>
                      <w:sz w:val="28"/>
                      <w:szCs w:val="28"/>
                    </w:rPr>
                    <w:lastRenderedPageBreak/>
                    <w:t xml:space="preserve">　　</w:t>
                  </w:r>
                  <w:r w:rsidRPr="00D346C4">
                    <w:rPr>
                      <w:rFonts w:asciiTheme="minorEastAsia" w:hAnsiTheme="minorEastAsia" w:cs="Arial"/>
                      <w:b/>
                      <w:bCs/>
                      <w:color w:val="000000"/>
                      <w:kern w:val="0"/>
                      <w:sz w:val="28"/>
                      <w:szCs w:val="28"/>
                    </w:rPr>
                    <w:t>三、切实防控食品药品安全事件发生</w:t>
                  </w:r>
                </w:p>
                <w:p w:rsidR="00D346C4" w:rsidRPr="00D346C4" w:rsidRDefault="00D346C4" w:rsidP="00D346C4">
                  <w:pPr>
                    <w:widowControl/>
                    <w:spacing w:before="100" w:beforeAutospacing="1" w:after="100" w:afterAutospacing="1" w:line="480" w:lineRule="auto"/>
                    <w:jc w:val="left"/>
                    <w:rPr>
                      <w:rFonts w:asciiTheme="minorEastAsia" w:hAnsiTheme="minorEastAsia" w:cs="Arial"/>
                      <w:color w:val="000000"/>
                      <w:kern w:val="0"/>
                      <w:sz w:val="28"/>
                      <w:szCs w:val="28"/>
                    </w:rPr>
                  </w:pPr>
                  <w:r w:rsidRPr="00D346C4">
                    <w:rPr>
                      <w:rFonts w:asciiTheme="minorEastAsia" w:hAnsiTheme="minorEastAsia" w:cs="Arial"/>
                      <w:color w:val="000000"/>
                      <w:kern w:val="0"/>
                      <w:sz w:val="28"/>
                      <w:szCs w:val="28"/>
                    </w:rPr>
                    <w:t xml:space="preserve">　　（一）加大打击力度，对违法违规行为进行严惩重处。加大对食品药品制假售假、“两超</w:t>
                  </w:r>
                  <w:proofErr w:type="gramStart"/>
                  <w:r w:rsidRPr="00D346C4">
                    <w:rPr>
                      <w:rFonts w:asciiTheme="minorEastAsia" w:hAnsiTheme="minorEastAsia" w:cs="Arial"/>
                      <w:color w:val="000000"/>
                      <w:kern w:val="0"/>
                      <w:sz w:val="28"/>
                      <w:szCs w:val="28"/>
                    </w:rPr>
                    <w:t>一</w:t>
                  </w:r>
                  <w:proofErr w:type="gramEnd"/>
                  <w:r w:rsidRPr="00D346C4">
                    <w:rPr>
                      <w:rFonts w:asciiTheme="minorEastAsia" w:hAnsiTheme="minorEastAsia" w:cs="Arial"/>
                      <w:color w:val="000000"/>
                      <w:kern w:val="0"/>
                      <w:sz w:val="28"/>
                      <w:szCs w:val="28"/>
                    </w:rPr>
                    <w:t>非”、食品欺诈和标签标识虚假夸大、不符合法律法规等违法行为打击力度，对问题企业和商品立即采取责令改正等行政措施，对涉嫌犯罪的，依法移送公安机关追究刑事责任。畅通“12331”投诉举报渠道，鼓励消费者依法投诉举报，维护合法权益。</w:t>
                  </w:r>
                  <w:r w:rsidRPr="00D346C4">
                    <w:rPr>
                      <w:rFonts w:asciiTheme="minorEastAsia" w:hAnsiTheme="minorEastAsia" w:cs="Arial"/>
                      <w:color w:val="000000"/>
                      <w:kern w:val="0"/>
                      <w:sz w:val="28"/>
                      <w:szCs w:val="28"/>
                    </w:rPr>
                    <w:br/>
                    <w:t xml:space="preserve">　　（二）深入开展“两节”宣传引导。利用年货市场、农村大集、民俗活动等“两节”特色场所以及“两微一端”等互联网渠道，利用广大群众喜闻乐见的形式，深入开展食品药品安全科普宣教，提高公众食品药品安全意识。适时发布节日食品药品安全消费警示，及时公布不合格产品信息，引导科学合理消费。</w:t>
                  </w:r>
                </w:p>
                <w:p w:rsidR="00D346C4" w:rsidRPr="00D346C4" w:rsidRDefault="00D346C4" w:rsidP="00D346C4">
                  <w:pPr>
                    <w:widowControl/>
                    <w:spacing w:before="100" w:beforeAutospacing="1" w:after="100" w:afterAutospacing="1" w:line="480" w:lineRule="auto"/>
                    <w:jc w:val="left"/>
                    <w:rPr>
                      <w:rFonts w:asciiTheme="minorEastAsia" w:hAnsiTheme="minorEastAsia" w:cs="Arial"/>
                      <w:color w:val="000000"/>
                      <w:kern w:val="0"/>
                      <w:sz w:val="28"/>
                      <w:szCs w:val="28"/>
                    </w:rPr>
                  </w:pPr>
                  <w:r w:rsidRPr="00D346C4">
                    <w:rPr>
                      <w:rFonts w:asciiTheme="minorEastAsia" w:hAnsiTheme="minorEastAsia" w:cs="Arial"/>
                      <w:color w:val="000000"/>
                      <w:kern w:val="0"/>
                      <w:sz w:val="28"/>
                      <w:szCs w:val="28"/>
                    </w:rPr>
                    <w:t xml:space="preserve">　　</w:t>
                  </w:r>
                  <w:r w:rsidRPr="00D346C4">
                    <w:rPr>
                      <w:rFonts w:asciiTheme="minorEastAsia" w:hAnsiTheme="minorEastAsia" w:cs="Arial"/>
                      <w:b/>
                      <w:bCs/>
                      <w:color w:val="000000"/>
                      <w:kern w:val="0"/>
                      <w:sz w:val="28"/>
                      <w:szCs w:val="28"/>
                    </w:rPr>
                    <w:t>四、加强应急值守，妥善应对突发事件</w:t>
                  </w:r>
                </w:p>
                <w:p w:rsidR="00D346C4" w:rsidRPr="00D346C4" w:rsidRDefault="00D346C4" w:rsidP="00D346C4">
                  <w:pPr>
                    <w:widowControl/>
                    <w:spacing w:before="100" w:beforeAutospacing="1" w:after="100" w:afterAutospacing="1" w:line="480" w:lineRule="auto"/>
                    <w:jc w:val="left"/>
                    <w:rPr>
                      <w:rFonts w:asciiTheme="minorEastAsia" w:hAnsiTheme="minorEastAsia" w:cs="Arial"/>
                      <w:color w:val="000000"/>
                      <w:kern w:val="0"/>
                      <w:sz w:val="28"/>
                      <w:szCs w:val="28"/>
                    </w:rPr>
                  </w:pPr>
                  <w:r w:rsidRPr="00D346C4">
                    <w:rPr>
                      <w:rFonts w:asciiTheme="minorEastAsia" w:hAnsiTheme="minorEastAsia" w:cs="Arial"/>
                      <w:color w:val="000000"/>
                      <w:kern w:val="0"/>
                      <w:sz w:val="28"/>
                      <w:szCs w:val="28"/>
                    </w:rPr>
                    <w:t xml:space="preserve">　　地方各级食品药品监管部门要强化大局意识、责任意识、危机意识和服务意识，针对日常工作中的薄弱环节、突出问题，明确分工，责任到人，做好分析、排查、预防和监督等工作。要严格执行24小时值班值守制度，妥善应对处置食品药品安全突发事件。密切关注食品药品安全舆情动态，及时核实、</w:t>
                  </w:r>
                  <w:proofErr w:type="gramStart"/>
                  <w:r w:rsidRPr="00D346C4">
                    <w:rPr>
                      <w:rFonts w:asciiTheme="minorEastAsia" w:hAnsiTheme="minorEastAsia" w:cs="Arial"/>
                      <w:color w:val="000000"/>
                      <w:kern w:val="0"/>
                      <w:sz w:val="28"/>
                      <w:szCs w:val="28"/>
                    </w:rPr>
                    <w:t>研</w:t>
                  </w:r>
                  <w:proofErr w:type="gramEnd"/>
                  <w:r w:rsidRPr="00D346C4">
                    <w:rPr>
                      <w:rFonts w:asciiTheme="minorEastAsia" w:hAnsiTheme="minorEastAsia" w:cs="Arial"/>
                      <w:color w:val="000000"/>
                      <w:kern w:val="0"/>
                      <w:sz w:val="28"/>
                      <w:szCs w:val="28"/>
                    </w:rPr>
                    <w:t>判、回应公众重点关注热点问题，营造良好的节日氛围。</w:t>
                  </w:r>
                  <w:r w:rsidRPr="00D346C4">
                    <w:rPr>
                      <w:rFonts w:asciiTheme="minorEastAsia" w:hAnsiTheme="minorEastAsia" w:cs="Arial"/>
                      <w:color w:val="000000"/>
                      <w:kern w:val="0"/>
                      <w:sz w:val="28"/>
                      <w:szCs w:val="28"/>
                    </w:rPr>
                    <w:br/>
                    <w:t xml:space="preserve">　　请各省级食品药品监管部门将“两节”期间值班安排分别于2017年12月28日、2018年2月5日前报总局值班室。</w:t>
                  </w:r>
                  <w:r w:rsidRPr="00D346C4">
                    <w:rPr>
                      <w:rFonts w:asciiTheme="minorEastAsia" w:hAnsiTheme="minorEastAsia" w:cs="Arial"/>
                      <w:color w:val="000000"/>
                      <w:kern w:val="0"/>
                      <w:sz w:val="28"/>
                      <w:szCs w:val="28"/>
                    </w:rPr>
                    <w:br/>
                    <w:t xml:space="preserve">　　总局值班电话：010-68316825，传真：010-68310909</w:t>
                  </w:r>
                </w:p>
                <w:p w:rsidR="00D346C4" w:rsidRPr="00D346C4" w:rsidRDefault="00D346C4" w:rsidP="00D346C4">
                  <w:pPr>
                    <w:widowControl/>
                    <w:spacing w:before="100" w:beforeAutospacing="1" w:after="100" w:afterAutospacing="1" w:line="480" w:lineRule="auto"/>
                    <w:jc w:val="right"/>
                    <w:rPr>
                      <w:rFonts w:asciiTheme="minorEastAsia" w:hAnsiTheme="minorEastAsia" w:cs="Arial"/>
                      <w:color w:val="000000"/>
                      <w:kern w:val="0"/>
                      <w:sz w:val="28"/>
                      <w:szCs w:val="28"/>
                    </w:rPr>
                  </w:pPr>
                  <w:r w:rsidRPr="00D346C4">
                    <w:rPr>
                      <w:rFonts w:asciiTheme="minorEastAsia" w:hAnsiTheme="minorEastAsia" w:cs="Arial"/>
                      <w:color w:val="000000"/>
                      <w:kern w:val="0"/>
                      <w:sz w:val="28"/>
                      <w:szCs w:val="28"/>
                    </w:rPr>
                    <w:br/>
                    <w:t>食品药品监管总局办公厅</w:t>
                  </w:r>
                  <w:r w:rsidRPr="00D346C4">
                    <w:rPr>
                      <w:rFonts w:asciiTheme="minorEastAsia" w:hAnsiTheme="minorEastAsia" w:cs="Arial"/>
                      <w:color w:val="000000"/>
                      <w:kern w:val="0"/>
                      <w:sz w:val="28"/>
                      <w:szCs w:val="28"/>
                    </w:rPr>
                    <w:br/>
                  </w:r>
                  <w:r w:rsidRPr="00D346C4">
                    <w:rPr>
                      <w:rFonts w:asciiTheme="minorEastAsia" w:hAnsiTheme="minorEastAsia" w:cs="Arial"/>
                      <w:color w:val="000000"/>
                      <w:kern w:val="0"/>
                      <w:sz w:val="28"/>
                      <w:szCs w:val="28"/>
                    </w:rPr>
                    <w:lastRenderedPageBreak/>
                    <w:t>2017年12月26日</w:t>
                  </w:r>
                </w:p>
              </w:tc>
            </w:tr>
            <w:tr w:rsidR="00D346C4" w:rsidRPr="00D346C4">
              <w:trPr>
                <w:tblCellSpacing w:w="0" w:type="dxa"/>
                <w:jc w:val="center"/>
              </w:trPr>
              <w:tc>
                <w:tcPr>
                  <w:tcW w:w="0" w:type="auto"/>
                  <w:vAlign w:val="center"/>
                  <w:hideMark/>
                </w:tcPr>
                <w:p w:rsidR="00D346C4" w:rsidRPr="00D346C4" w:rsidRDefault="00D346C4" w:rsidP="00D346C4">
                  <w:pPr>
                    <w:widowControl/>
                    <w:spacing w:line="408" w:lineRule="auto"/>
                    <w:jc w:val="left"/>
                    <w:rPr>
                      <w:rFonts w:asciiTheme="minorEastAsia" w:hAnsiTheme="minorEastAsia" w:cs="Arial"/>
                      <w:kern w:val="0"/>
                      <w:sz w:val="28"/>
                      <w:szCs w:val="28"/>
                    </w:rPr>
                  </w:pPr>
                </w:p>
              </w:tc>
            </w:tr>
          </w:tbl>
          <w:p w:rsidR="00D346C4" w:rsidRPr="00D346C4" w:rsidRDefault="00D346C4" w:rsidP="00D346C4">
            <w:pPr>
              <w:widowControl/>
              <w:spacing w:line="408" w:lineRule="auto"/>
              <w:jc w:val="center"/>
              <w:rPr>
                <w:rFonts w:asciiTheme="minorEastAsia" w:hAnsiTheme="minorEastAsia" w:cs="Arial"/>
                <w:kern w:val="0"/>
                <w:sz w:val="28"/>
                <w:szCs w:val="28"/>
              </w:rPr>
            </w:pPr>
          </w:p>
        </w:tc>
        <w:bookmarkStart w:id="0" w:name="_GoBack"/>
        <w:bookmarkEnd w:id="0"/>
      </w:tr>
    </w:tbl>
    <w:p w:rsidR="00D346C4" w:rsidRPr="00D346C4" w:rsidRDefault="00D346C4" w:rsidP="00D346C4">
      <w:pPr>
        <w:widowControl/>
        <w:jc w:val="left"/>
        <w:rPr>
          <w:rFonts w:asciiTheme="minorEastAsia" w:hAnsiTheme="minorEastAsia" w:cs="Arial"/>
          <w:vanish/>
          <w:kern w:val="0"/>
          <w:sz w:val="28"/>
          <w:szCs w:val="28"/>
        </w:rPr>
      </w:pPr>
    </w:p>
    <w:tbl>
      <w:tblPr>
        <w:tblW w:w="11670" w:type="dxa"/>
        <w:jc w:val="center"/>
        <w:tblCellSpacing w:w="0" w:type="dxa"/>
        <w:tblCellMar>
          <w:left w:w="0" w:type="dxa"/>
          <w:right w:w="0" w:type="dxa"/>
        </w:tblCellMar>
        <w:tblLook w:val="04A0" w:firstRow="1" w:lastRow="0" w:firstColumn="1" w:lastColumn="0" w:noHBand="0" w:noVBand="1"/>
      </w:tblPr>
      <w:tblGrid>
        <w:gridCol w:w="11670"/>
      </w:tblGrid>
      <w:tr w:rsidR="00D346C4" w:rsidRPr="00D346C4" w:rsidTr="00D346C4">
        <w:trPr>
          <w:trHeight w:val="150"/>
          <w:tblCellSpacing w:w="0" w:type="dxa"/>
          <w:jc w:val="center"/>
        </w:trPr>
        <w:tc>
          <w:tcPr>
            <w:tcW w:w="0" w:type="auto"/>
            <w:shd w:val="clear" w:color="auto" w:fill="FFFFFF"/>
            <w:vAlign w:val="center"/>
            <w:hideMark/>
          </w:tcPr>
          <w:p w:rsidR="00D346C4" w:rsidRPr="00D346C4" w:rsidRDefault="00D346C4" w:rsidP="00D346C4">
            <w:pPr>
              <w:widowControl/>
              <w:spacing w:line="408" w:lineRule="auto"/>
              <w:jc w:val="center"/>
              <w:rPr>
                <w:rFonts w:asciiTheme="minorEastAsia" w:hAnsiTheme="minorEastAsia" w:cs="Arial"/>
                <w:kern w:val="0"/>
                <w:sz w:val="28"/>
                <w:szCs w:val="28"/>
              </w:rPr>
            </w:pPr>
          </w:p>
        </w:tc>
      </w:tr>
    </w:tbl>
    <w:p w:rsidR="00527ADF" w:rsidRPr="00D346C4" w:rsidRDefault="00527ADF"/>
    <w:sectPr w:rsidR="00527ADF" w:rsidRPr="00D346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6C4"/>
    <w:rsid w:val="00084202"/>
    <w:rsid w:val="00527ADF"/>
    <w:rsid w:val="00D34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346C4"/>
    <w:rPr>
      <w:sz w:val="18"/>
      <w:szCs w:val="18"/>
    </w:rPr>
  </w:style>
  <w:style w:type="character" w:customStyle="1" w:styleId="Char">
    <w:name w:val="批注框文本 Char"/>
    <w:basedOn w:val="a0"/>
    <w:link w:val="a3"/>
    <w:uiPriority w:val="99"/>
    <w:semiHidden/>
    <w:rsid w:val="00D346C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346C4"/>
    <w:rPr>
      <w:sz w:val="18"/>
      <w:szCs w:val="18"/>
    </w:rPr>
  </w:style>
  <w:style w:type="character" w:customStyle="1" w:styleId="Char">
    <w:name w:val="批注框文本 Char"/>
    <w:basedOn w:val="a0"/>
    <w:link w:val="a3"/>
    <w:uiPriority w:val="99"/>
    <w:semiHidden/>
    <w:rsid w:val="00D346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57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www.sda.gov.cn/WS01/wbppcss/ewm.html?url=http://www.sda.gov.cn/WS01/CL0852/220703.html&amp;title=%E6%80%BB%E5%B1%80%E5%8A%9E%E5%85%AC%E5%8E%85%E5%85%B3%E4%BA%8E%E5%81%9A%E5%A5%BD2018%E5%B9%B4%E5%85%83%E6%97%A6%E6%98%A5%E8%8A%82%E6%9C%9F%E9%97%B4%E9%A3%9F%E5%93%81%E8%8D%AF%E5%93%81%E7%9B%91%E7%AE%A1%E6%9C%89%E5%85%B3%E5%B7%A5%E4%BD%9C%E7%9A%84%E9%80%9A%E7%9F%A5" TargetMode="External"/><Relationship Id="rId3" Type="http://schemas.openxmlformats.org/officeDocument/2006/relationships/settings" Target="settings.xml"/><Relationship Id="rId7" Type="http://schemas.openxmlformats.org/officeDocument/2006/relationships/hyperlink" Target="http://v.t.sina.com.cn/share/share.php?title=%E6%80%BB%E5%B1%80%E5%8A%9E%E5%85%AC%E5%8E%85%E5%85%B3%E4%BA%8E%E5%81%9A%E5%A5%BD2018%E5%B9%B4%E5%85%83%E6%97%A6%E6%98%A5%E8%8A%82%E6%9C%9F%E9%97%B4%E9%A3%9F%E5%93%81%E8%8D%AF%E5%93%81%E7%9B%91%E7%AE%A1%E6%9C%89%E5%85%B3%E5%B7%A5%E4%BD%9C%E7%9A%84%E9%80%9A%E7%9F%A5&amp;url=http://www.sda.gov.cn/WS01/CL0852/220703.html" TargetMode="External"/><Relationship Id="rId12" Type="http://schemas.openxmlformats.org/officeDocument/2006/relationships/image" Target="media/image5.gif"/><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sns.qzone.qq.com/cgi-bin/qzshare/cgi_qzshare_onekey?url=http://www.sda.gov.cn/WS01/CL0852/220703.html&amp;title=%E6%80%BB%E5%B1%80%E5%8A%9E%E5%85%AC%E5%8E%85%E5%85%B3%E4%BA%8E%E5%81%9A%E5%A5%BD2018%E5%B9%B4%E5%85%83%E6%97%A6%E6%98%A5%E8%8A%82%E6%9C%9F%E9%97%B4%E9%A3%9F%E5%93%81%E8%8D%AF%E5%93%81%E7%9B%91%E7%AE%A1%E6%9C%89%E5%85%B3%E5%B7%A5%E4%BD%9C%E7%9A%84%E9%80%9A%E7%9F%A5&amp;api_key=" TargetMode="External"/><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hyperlink" Target="http://share.v.t.qq.com/index.php?c=share&amp;a=index&amp;title=%E6%80%BB%E5%B1%80%E5%8A%9E%E5%85%AC%E5%8E%85%E5%85%B3%E4%BA%8E%E5%81%9A%E5%A5%BD2018%E5%B9%B4%E5%85%83%E6%97%A6%E6%98%A5%E8%8A%82%E6%9C%9F%E9%97%B4%E9%A3%9F%E5%93%81%E8%8D%AF%E5%93%81%E7%9B%91%E7%AE%A1%E6%9C%89%E5%85%B3%E5%B7%A5%E4%BD%9C%E7%9A%84%E9%80%9A%E7%9F%A5&amp;url=http://www.sda.gov.cn/WS01/CL0852/220703.html" TargetMode="External"/><Relationship Id="rId14" Type="http://schemas.openxmlformats.org/officeDocument/2006/relationships/image" Target="media/image6.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287</Words>
  <Characters>1636</Characters>
  <Application>Microsoft Office Word</Application>
  <DocSecurity>0</DocSecurity>
  <Lines>13</Lines>
  <Paragraphs>3</Paragraphs>
  <ScaleCrop>false</ScaleCrop>
  <Company>china</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2018-02-06T06:34:00Z</dcterms:created>
  <dcterms:modified xsi:type="dcterms:W3CDTF">2018-02-06T06:34:00Z</dcterms:modified>
</cp:coreProperties>
</file>