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营运部发〔2018〕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>221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 xml:space="preserve">号         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 xml:space="preserve">      签发人：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 w:bidi="ar-SA"/>
        </w:rPr>
        <w:t>蒋炜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405" w:firstLineChars="5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关于门店发展新会员及考核会员消费占比的通知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各片区及门店，目前我司会员消费占比平均值约为70%，初步达到行业平均水平，但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部分门店离70%差距还较大。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为在保持中继续提升，增强我公司的竞争力，公司于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2018年12月拟定新会员发展及会员消费占比考核任务，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现将相关要求通知如下：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门店发展新会员任务指标及考核：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1、目标及要求：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每人每天发展会员不得低于1人，各门店具体任务指标见附表，各店长负责将任务分配至门店员工，片长监督执行。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B: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新会员需为有效会员，有效会员定义：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①一个月内须有消费记录。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②姓名、生日、电话、性别以上四项不能为空、姓名栏处不能含任何需与姓名不符内容（如字符、拼音或其他备注）。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③生日需是有效日期。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C: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各门店在激活会员相关信息时请录入本人的个人ID，营运部将于每月26日导出上月各店实际发展会员情况，所有数据以英克系统为准。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D: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每月考核时间按财务月统计（即上月26日至本月25日）。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注：本月会员任务已在月初发至各店。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2、奖励及处罚：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处罚：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未完成任务的门店将按差额部分2元/个处罚。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对各店每月新办会员录入资料有误的按2元/个进行处罚。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判定规则：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姓名栏只有一个字、填写文字明显不是顾客姓名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（如阿坝卡、发票已开等）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，或者包含字符、拼音、数字、其他备注等与顾客姓名不符信息。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生日为未发生日期（如：今日为2018年12月20日，但顾客生日一栏为2019年1月1日）。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二、会员消费占比任务指标及考核：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目标及要求：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（1）营运部每月根据各店上月实际数据为基数，制定各门店每月消费占比指标。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（2）每月考核时间段按财务月统计（即上月26日至本月25日）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注：12月会员占比任务已在月初发至各店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2、奖励及处罚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当月对比门店消费占比任务按增长百分点进行排名，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对公司前三名门店对应奖励150/100/50元奖励。次月公布当月结果，奖励随工资造发。对完成任务的门店，店长加绩效10分。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B: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当月会员消费占比排名前3名对应奖励150/100/50元。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备注：以上两项排名奖励需在完成任务的情况下才能参与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处罚：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A: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当月未完成消费占比任务的门店扣店长10分绩效分，并对门店所有店员工扣5分绩效分。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片区所有门店完成任务，片长加绩效分3分，片区完成任务门店低于50%，扣绩效3分。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注：会员发展及消费占比相关奖励及考核均试行3个月，3个月后由营运部另行执行考核方案。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主题词：     发展新会员       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考核 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会员消费占比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 xml:space="preserve">四川太极大药房连锁有限公司     </w:t>
      </w:r>
      <w:r>
        <w:rPr>
          <w:rFonts w:hint="eastAsia" w:ascii="宋体" w:hAnsi="宋体" w:cs="宋体"/>
          <w:b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b/>
          <w:kern w:val="2"/>
          <w:sz w:val="24"/>
          <w:szCs w:val="24"/>
          <w:u w:val="single"/>
          <w:lang w:val="en-US" w:eastAsia="zh-CN" w:bidi="ar-SA"/>
        </w:rPr>
        <w:t xml:space="preserve">     2018年12月20日印发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打印：刘美玲      核对：谭莉杨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）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36BB"/>
    <w:multiLevelType w:val="singleLevel"/>
    <w:tmpl w:val="58BD36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7CB3"/>
    <w:rsid w:val="080676C8"/>
    <w:rsid w:val="095707D6"/>
    <w:rsid w:val="0BA61554"/>
    <w:rsid w:val="16ED3334"/>
    <w:rsid w:val="1BF057D7"/>
    <w:rsid w:val="2BDD4E67"/>
    <w:rsid w:val="46A7392F"/>
    <w:rsid w:val="486C3E28"/>
    <w:rsid w:val="619D5D89"/>
    <w:rsid w:val="62C1542B"/>
    <w:rsid w:val="68974500"/>
    <w:rsid w:val="69C57F6B"/>
    <w:rsid w:val="700063F8"/>
    <w:rsid w:val="703B3FEA"/>
    <w:rsid w:val="7B906126"/>
    <w:rsid w:val="7C0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2018-12-19T09:18:00Z</cp:lastPrinted>
  <dcterms:modified xsi:type="dcterms:W3CDTF">2018-12-19T09:25:19Z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