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信息部2</w:t>
      </w:r>
      <w:r>
        <w:rPr>
          <w:b/>
          <w:sz w:val="28"/>
          <w:szCs w:val="28"/>
        </w:rPr>
        <w:t>01</w:t>
      </w: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rFonts w:hint="eastAsia"/>
          <w:b/>
          <w:sz w:val="28"/>
          <w:szCs w:val="28"/>
        </w:rPr>
        <w:t>年工作</w:t>
      </w:r>
      <w:r>
        <w:rPr>
          <w:rFonts w:hint="eastAsia"/>
          <w:b/>
          <w:sz w:val="28"/>
          <w:szCs w:val="28"/>
          <w:lang w:val="en-US" w:eastAsia="zh-CN"/>
        </w:rPr>
        <w:t>总结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O2O销售</w: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京东到家，1-11月完成销售：153.08万，毛利30.81万，毛利率20.13%，销售和毛利比去同期增幅分别为：88.21%，51.45%，完成年初制订的100万元销售目标，预计全年实现销售170万。以下1-11月每月明细对比。</w:t>
      </w:r>
    </w:p>
    <w:tbl>
      <w:tblPr>
        <w:tblStyle w:val="3"/>
        <w:tblW w:w="9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1"/>
        <w:gridCol w:w="1229"/>
        <w:gridCol w:w="1305"/>
        <w:gridCol w:w="919"/>
        <w:gridCol w:w="1294"/>
        <w:gridCol w:w="1242"/>
        <w:gridCol w:w="928"/>
        <w:gridCol w:w="1169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66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2017-2018京东销售对比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月份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2017销售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2017毛利额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毛利率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2018销售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2018毛利额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2018毛利率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销售增幅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毛利增幅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36312.08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12144.20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33.44%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121261.51 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25009.12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20.62%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233.94%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105.93%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34337.56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12049.98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35.09%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85332.92 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18124.05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21.24%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148.51%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44558.43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15486.65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34.76%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112193.43 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22662.94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20.20%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151.79%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60756.86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18344.70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30.19%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84749.39 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16752.61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19.77%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39.49%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-8.68%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104460.73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26209.49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25.09%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99179.74 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19386.09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19.55%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-5.06%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-26.03%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140395.14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27062.76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19.28%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154603.46 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29057.30 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18.79%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10.12%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106453.9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26440.52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24.84%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186413.38 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38245.08 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20.52%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75.11%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74066.18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17708.23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23.91%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215761.00 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39707.53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18.40%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191.31%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58628.65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13122.55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22.38%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170911.88 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34296.18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20.07%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191.52%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64288.01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15157.45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23.58%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143332.28 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32447.71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22.64%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122.95%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89113.03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19731.28 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22.14%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157105.71 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32448.79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20.65%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76.30%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813370.57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203457.7986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122.14%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1530844.7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308137.3987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20.13%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88.21%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51.45%</w:t>
            </w:r>
          </w:p>
        </w:tc>
      </w:tr>
    </w:tbl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饿了么销售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7月24日上线，第一批上线门店11家，10月第二批上线8家，府城店关店后，目前实际上线家数为18家。到11月25号，共实现销售：7万，毛利2.23万，毛利率：32.37%。以下为每月销售明细</w:t>
      </w:r>
    </w:p>
    <w:tbl>
      <w:tblPr>
        <w:tblStyle w:val="3"/>
        <w:tblW w:w="5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"/>
        <w:gridCol w:w="1325"/>
        <w:gridCol w:w="1352"/>
        <w:gridCol w:w="1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饿了么2018年分月销售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月份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2018销售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2018毛利额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2018毛利率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388.5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133.84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8606.19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3361.118892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39.05%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15399.04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5135.99878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19527.76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6365.75646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26157.94 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7690.09 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70079.43 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22686.80 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32.37%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异地社保情况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自8月起，协调社保及银海公司开通异地社保，11家门店开始异地社保刷卡试点，截止到11.25 共实现销售82.55发，笔数3919笔。以下为异地社保刷卡分店销售情况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color w:val="C55A11" w:themeColor="accent2" w:themeShade="B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C55A11" w:themeColor="accent2" w:themeShade="BF"/>
          <w:sz w:val="28"/>
          <w:szCs w:val="28"/>
          <w:lang w:val="en-US" w:eastAsia="zh-CN"/>
        </w:rPr>
        <w:t>异地社保分门店销售情况</w:t>
      </w:r>
    </w:p>
    <w:tbl>
      <w:tblPr>
        <w:tblStyle w:val="3"/>
        <w:tblW w:w="8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860"/>
        <w:gridCol w:w="3101"/>
        <w:gridCol w:w="1230"/>
        <w:gridCol w:w="1170"/>
        <w:gridCol w:w="910"/>
        <w:gridCol w:w="7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门店ID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销售金额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毛利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毛利率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四川太极旗舰店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299534.81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85063.25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28.40%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四川太极都江堰药店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144906.73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40253.87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27.78%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四川太极光华村街药店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82173.95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28429.53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34.60%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四川太极金牛区交大路第三药店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56575.44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18115.54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32.02%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四川太极五津西路药店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52329.4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15403.32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29.44%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四川太极新乐中街药店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48456.7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15915.17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32.84%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四川太极汇融名城店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32212.71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10947.61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33.99%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四川太极浆洗街药店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30851.2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7239.96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23.47%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四川太极大邑县晋原镇子龙路店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30349.64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9565.29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31.52%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四川太极金带街药店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24281.5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9038.31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37.22%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四川太极新都区马超东路店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23841.16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9124.92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38.27%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825513.24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249096.76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30.17%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3919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用信息化手段解决各部门及门店问题及困难</w:t>
      </w:r>
    </w:p>
    <w:p>
      <w:pPr>
        <w:numPr>
          <w:ilvl w:val="0"/>
          <w:numId w:val="3"/>
        </w:numPr>
        <w:ind w:leftChars="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新开发功能及报表29个，以下为明细</w:t>
      </w:r>
    </w:p>
    <w:tbl>
      <w:tblPr>
        <w:tblStyle w:val="3"/>
        <w:tblW w:w="7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840"/>
        <w:gridCol w:w="4691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功能ID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功能名称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400467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系列品种维护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400468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员工任务维护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400470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手工优惠流水查询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400474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执行单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400490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门店任务维护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400492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片区任务维护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400466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企健网品种限定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400480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饿了么库存价格查询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400483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美团库存价格查询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400486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线上平台销售汇总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400491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查询收款方式分门店分时间分品种销售汇总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400494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储值卡充值申请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400471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员工技能诊断报告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400472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优惠申请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400473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考勤补录申请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400493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请假申请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400495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考勤查询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400484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价签会员价查询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400487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历史库存明细查询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400488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店员藏药销售奖励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400465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采购成本分析报表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400469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票折登记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400477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查询西部库存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400478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益企保收款方式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400481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增值税发票申请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400482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增值税发票申请报表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400489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门店房租管理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400479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物资申请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400485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物资基础信息管理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ind w:leftChars="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接口</w:t>
      </w:r>
    </w:p>
    <w:p>
      <w:pPr>
        <w:numPr>
          <w:ilvl w:val="0"/>
          <w:numId w:val="4"/>
        </w:numPr>
        <w:ind w:left="240" w:leftChars="0" w:firstLine="0" w:firstLineChars="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保险卡：共测试及接通四个保险卡：企健网、药直联、益企宝-钥匙卡，益企宝-健医，共实现销售124.67万，以下为销售情况</w:t>
      </w:r>
    </w:p>
    <w:tbl>
      <w:tblPr>
        <w:tblStyle w:val="3"/>
        <w:tblW w:w="6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"/>
        <w:gridCol w:w="1120"/>
        <w:gridCol w:w="1170"/>
        <w:gridCol w:w="1411"/>
        <w:gridCol w:w="1411"/>
        <w:gridCol w:w="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保险卡类别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毛利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毛利率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企健网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290236.84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89724.77 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30.91%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药直联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662577.03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193979.34 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29.28%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益企宝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293940.01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99178.89 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33.74%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1246753.88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382883.003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30.71%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11305</w:t>
            </w:r>
          </w:p>
        </w:tc>
      </w:tr>
    </w:tbl>
    <w:p>
      <w:pPr>
        <w:numPr>
          <w:ilvl w:val="0"/>
          <w:numId w:val="4"/>
        </w:numPr>
        <w:ind w:left="240" w:leftChars="0" w:firstLine="0" w:firstLineChars="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存健康会员系统对接</w:t>
      </w:r>
    </w:p>
    <w:p>
      <w:pPr>
        <w:numPr>
          <w:ilvl w:val="0"/>
          <w:numId w:val="4"/>
        </w:numPr>
        <w:ind w:left="240" w:leftChars="0" w:firstLine="0" w:firstLineChars="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电子会员卡测试、O2O系统对接</w:t>
      </w:r>
    </w:p>
    <w:p>
      <w:pPr>
        <w:numPr>
          <w:ilvl w:val="0"/>
          <w:numId w:val="0"/>
        </w:numPr>
        <w:ind w:left="240" w:leftChars="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ERP数据成功切割至重庆总部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经过近三个月的软件测试及硬件网络准备，于11月26号晚上，成功将ERP数据切割到重庆数据中心 ，数据无丢失，门店运营，物流配送基本没受影响，同时也提高了系统运行效率，提高数据安全性，节约服务器费用近80万！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完成门店现场管理及装修升级、新店开业相关安装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1、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截止到11月25号，新安装“太极药店管家” 53家，合计达到 89 家。</w:t>
      </w:r>
    </w:p>
    <w:p>
      <w:pPr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2、2018年共完成17家新开门店信息建立，网络铺设，收银台安装</w:t>
      </w:r>
    </w:p>
    <w:p>
      <w:pPr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3、2018年共完成28家装修升级门店收银台及网络改造</w:t>
      </w:r>
    </w:p>
    <w:p>
      <w:pPr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4、按集团要求完成所有门店收银台线路清理</w:t>
      </w:r>
    </w:p>
    <w:p>
      <w:pPr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信</w:t>
      </w:r>
      <w:r>
        <w:rPr>
          <w:rFonts w:hint="eastAsia"/>
          <w:b/>
          <w:sz w:val="28"/>
          <w:szCs w:val="28"/>
        </w:rPr>
        <w:t>息部2</w:t>
      </w:r>
      <w:r>
        <w:rPr>
          <w:b/>
          <w:sz w:val="28"/>
          <w:szCs w:val="28"/>
        </w:rPr>
        <w:t>01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年工作计划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信息系统升级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前信息系统为2010年8月切换，英克版本相对较老，虽做了很多专项来满足变化的业务需求，但在促销管理，业务返利，会员管理，前台零售等各方面不能完全满足，故升级系统势在必行！在充分了解现有业务流程、专项及各部门的需求基础上，提出新系统实施方案。具体如下：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1、4月底之前完成近8年来，所有专项特别是我部门自行开发的专项梳理，接口梳理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2、5-6月与英克公司一起完成新系统详细需求调研，形成书面需求报告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3、7-8月按项目实施安排准备相关工作，期初数据准备，专项开发、人员培训等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4、9月25号晚完成切换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5、10-12月新系统切换后跟踪调整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自行开发或引进信息化管理工具，解决部门及门店痛点及难点、</w:t>
      </w:r>
    </w:p>
    <w:p>
      <w:pPr>
        <w:numPr>
          <w:ilvl w:val="0"/>
          <w:numId w:val="6"/>
        </w:numPr>
        <w:ind w:left="31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营运部：动态绩效管理、电子会员卡</w:t>
      </w:r>
    </w:p>
    <w:p>
      <w:pPr>
        <w:numPr>
          <w:ilvl w:val="0"/>
          <w:numId w:val="6"/>
        </w:numPr>
        <w:ind w:left="31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人事部：各系统人员同步</w:t>
      </w:r>
    </w:p>
    <w:p>
      <w:pPr>
        <w:numPr>
          <w:ilvl w:val="0"/>
          <w:numId w:val="6"/>
        </w:numPr>
        <w:ind w:left="31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业务部：进货价比较及监控</w:t>
      </w:r>
    </w:p>
    <w:p>
      <w:pPr>
        <w:numPr>
          <w:ilvl w:val="0"/>
          <w:numId w:val="6"/>
        </w:numPr>
        <w:ind w:left="31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商品部：一店一目录及对应库存报警</w:t>
      </w:r>
    </w:p>
    <w:p>
      <w:pPr>
        <w:numPr>
          <w:ilvl w:val="0"/>
          <w:numId w:val="6"/>
        </w:numPr>
        <w:ind w:left="31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财务部：费用管理</w:t>
      </w:r>
    </w:p>
    <w:p>
      <w:pPr>
        <w:widowControl w:val="0"/>
        <w:numPr>
          <w:ilvl w:val="0"/>
          <w:numId w:val="6"/>
        </w:numPr>
        <w:ind w:left="315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外销部：线上品种分析、保险卡会员消费分析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7、片区主管：定制片区日常管理用数据报表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8、门店：配送退货审核后自动执行、报损报溢自动锁定库存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三、</w:t>
      </w:r>
      <w:r>
        <w:rPr>
          <w:rFonts w:hint="eastAsia"/>
          <w:lang w:val="en-US" w:eastAsia="zh-CN"/>
        </w:rPr>
        <w:t>引进及实施</w:t>
      </w:r>
      <w:r>
        <w:rPr>
          <w:rFonts w:hint="eastAsia"/>
        </w:rPr>
        <w:t>OA系统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实现无纸化办公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1、门店考勤</w:t>
      </w:r>
    </w:p>
    <w:p>
      <w:r>
        <w:t xml:space="preserve">     </w:t>
      </w:r>
      <w:r>
        <w:rPr>
          <w:rFonts w:hint="eastAsia"/>
        </w:rPr>
        <w:t>基于目前考勤不能能真实反应员工出勤情况，不能通过手机进行审批等问题，</w:t>
      </w:r>
      <w:r>
        <w:rPr>
          <w:rFonts w:hint="eastAsia"/>
          <w:lang w:val="en-US" w:eastAsia="zh-CN"/>
        </w:rPr>
        <w:t>对</w:t>
      </w:r>
      <w:r>
        <w:rPr>
          <w:rFonts w:hint="eastAsia"/>
        </w:rPr>
        <w:t>泛微</w:t>
      </w:r>
      <w:r>
        <w:rPr>
          <w:rFonts w:hint="eastAsia"/>
          <w:lang w:val="en-US" w:eastAsia="zh-CN"/>
        </w:rPr>
        <w:t>及丁丁等系统进行调研，并对</w:t>
      </w:r>
      <w:r>
        <w:rPr>
          <w:rFonts w:hint="eastAsia"/>
        </w:rPr>
        <w:t>移动考勤系统</w:t>
      </w:r>
      <w:r>
        <w:rPr>
          <w:rFonts w:hint="eastAsia"/>
          <w:lang w:val="en-US" w:eastAsia="zh-CN"/>
        </w:rPr>
        <w:t>进行</w:t>
      </w:r>
      <w:r>
        <w:rPr>
          <w:rFonts w:hint="eastAsia"/>
        </w:rPr>
        <w:t>实施，实现如下功能：</w:t>
      </w:r>
    </w:p>
    <w:p>
      <w:pPr>
        <w:ind w:firstLine="210" w:firstLineChars="100"/>
      </w:pPr>
      <w:r>
        <w:rPr>
          <w:rFonts w:hint="eastAsia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、包括员工到店，培训，开会，出差等，采取的方式可以是手机APP和电脑版程序</w:t>
      </w:r>
    </w:p>
    <w:p>
      <w:pPr>
        <w:ind w:firstLine="210" w:firstLineChars="100"/>
      </w:pPr>
      <w:r>
        <w:rPr>
          <w:rFonts w:hint="eastAsia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、排班必须体现在系统中，且和考勤相匹配，否则视为旷工，排班有变化时，需要审批，考勤与排班不匹配进系统能自动报警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、所有审批能通过手机进行审批，并且有向上和向下的消息推送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2、所有公文呈报，通过电子化申请及审批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具体安排如下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1、1-2月选型调研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2、3月完成报送审批及合同签订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3、4月需求调研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4、5月实施前准备、培训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5、6月切换实施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6、7-9月跟踪调整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、完成</w:t>
      </w:r>
      <w:r>
        <w:rPr>
          <w:rFonts w:hint="eastAsia"/>
          <w:lang w:val="en-US" w:eastAsia="zh-CN"/>
        </w:rPr>
        <w:t>新装及</w:t>
      </w:r>
      <w:r>
        <w:rPr>
          <w:rFonts w:hint="eastAsia"/>
        </w:rPr>
        <w:t>未装修门店电脑网络系统切换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太极药店管家安装</w:t>
      </w:r>
    </w:p>
    <w:p>
      <w:r>
        <w:rPr>
          <w:rFonts w:hint="eastAsia"/>
        </w:rPr>
        <w:t>1、完成剩下</w:t>
      </w:r>
      <w:r>
        <w:rPr>
          <w:rFonts w:hint="eastAsia"/>
          <w:lang w:val="en-US" w:eastAsia="zh-CN"/>
        </w:rPr>
        <w:t>16家</w:t>
      </w:r>
      <w:r>
        <w:rPr>
          <w:rFonts w:hint="eastAsia"/>
        </w:rPr>
        <w:t>未装修门店的电脑网络系统切换</w:t>
      </w:r>
    </w:p>
    <w:p>
      <w:r>
        <w:rPr>
          <w:rFonts w:hint="eastAsia"/>
        </w:rPr>
        <w:t>2、完成新开门店信息设备购置、系统切换</w:t>
      </w:r>
    </w:p>
    <w:p>
      <w:pPr>
        <w:rPr>
          <w:rFonts w:hint="eastAsia"/>
        </w:rPr>
      </w:pPr>
      <w:r>
        <w:rPr>
          <w:rFonts w:hint="eastAsia"/>
        </w:rPr>
        <w:t>3、收银台按规范进行安装及标识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4、太极药店管家全部上线，预计安装20-30家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5、对药店管家，梳理点检项：针对各部门重新梳理点检任务，修改不合适检查项，增加新检查项，根据公司制度，实时调整。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五、加盟店系统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根据加盟店进度进行系统的选型及辅助实施</w:t>
      </w: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57A7FD"/>
    <w:multiLevelType w:val="singleLevel"/>
    <w:tmpl w:val="A157A7FD"/>
    <w:lvl w:ilvl="0" w:tentative="0">
      <w:start w:val="1"/>
      <w:numFmt w:val="decimal"/>
      <w:suff w:val="nothing"/>
      <w:lvlText w:val="%1）"/>
      <w:lvlJc w:val="left"/>
      <w:pPr>
        <w:ind w:left="240" w:leftChars="0" w:firstLine="0" w:firstLineChars="0"/>
      </w:pPr>
    </w:lvl>
  </w:abstractNum>
  <w:abstractNum w:abstractNumId="1">
    <w:nsid w:val="B379838D"/>
    <w:multiLevelType w:val="singleLevel"/>
    <w:tmpl w:val="B379838D"/>
    <w:lvl w:ilvl="0" w:tentative="0">
      <w:start w:val="1"/>
      <w:numFmt w:val="decimal"/>
      <w:suff w:val="nothing"/>
      <w:lvlText w:val="%1、"/>
      <w:lvlJc w:val="left"/>
      <w:pPr>
        <w:ind w:left="315" w:leftChars="0" w:firstLine="0" w:firstLineChars="0"/>
      </w:pPr>
    </w:lvl>
  </w:abstractNum>
  <w:abstractNum w:abstractNumId="2">
    <w:nsid w:val="B469BA7A"/>
    <w:multiLevelType w:val="singleLevel"/>
    <w:tmpl w:val="B469BA7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24686F0"/>
    <w:multiLevelType w:val="singleLevel"/>
    <w:tmpl w:val="F24686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92EC95D"/>
    <w:multiLevelType w:val="singleLevel"/>
    <w:tmpl w:val="392EC95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9C5A652"/>
    <w:multiLevelType w:val="singleLevel"/>
    <w:tmpl w:val="79C5A6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79"/>
    <w:rsid w:val="000A6A7C"/>
    <w:rsid w:val="0015523F"/>
    <w:rsid w:val="004561B3"/>
    <w:rsid w:val="00710BCB"/>
    <w:rsid w:val="00D63F04"/>
    <w:rsid w:val="00F23DE1"/>
    <w:rsid w:val="00FE0079"/>
    <w:rsid w:val="020A3A1C"/>
    <w:rsid w:val="057D217F"/>
    <w:rsid w:val="08A621A6"/>
    <w:rsid w:val="08BB27C0"/>
    <w:rsid w:val="0B233114"/>
    <w:rsid w:val="0B826330"/>
    <w:rsid w:val="0EE92096"/>
    <w:rsid w:val="14B069BE"/>
    <w:rsid w:val="1DAB69E8"/>
    <w:rsid w:val="1EC5242D"/>
    <w:rsid w:val="244611C2"/>
    <w:rsid w:val="3EA07788"/>
    <w:rsid w:val="42312895"/>
    <w:rsid w:val="49D70483"/>
    <w:rsid w:val="4AC2533F"/>
    <w:rsid w:val="500D6776"/>
    <w:rsid w:val="574275F0"/>
    <w:rsid w:val="5CBE373E"/>
    <w:rsid w:val="5F80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592</Characters>
  <Lines>4</Lines>
  <Paragraphs>1</Paragraphs>
  <TotalTime>18</TotalTime>
  <ScaleCrop>false</ScaleCrop>
  <LinksUpToDate>false</LinksUpToDate>
  <CharactersWithSpaces>694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2018-01-12T01:23:00Z</dcterms:created>
  <dc:creator>jj h</dc:creator>
  <cp:lastModifiedBy>57633</cp:lastModifiedBy>
  <dcterms:modified xsi:type="dcterms:W3CDTF">2018-11-28T03:07:52Z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