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外销部发【2018】00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“药联金秋五折福利”活动方案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各门店：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药联直付</w:t>
      </w:r>
      <w:r>
        <w:rPr>
          <w:rFonts w:hint="eastAsia"/>
          <w:sz w:val="24"/>
          <w:szCs w:val="24"/>
        </w:rPr>
        <w:t>“药联金秋五折福利”活动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</w:rPr>
        <w:t>活动持续7天，</w:t>
      </w:r>
      <w:r>
        <w:rPr>
          <w:rFonts w:hint="eastAsia"/>
          <w:sz w:val="24"/>
          <w:szCs w:val="24"/>
          <w:lang w:eastAsia="zh-CN"/>
        </w:rPr>
        <w:t>将有效地增客流、促销售，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2018年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日至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日，所有直营店参与。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顾客通过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扫描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POP</w:t>
      </w:r>
      <w:r>
        <w:rPr>
          <w:rFonts w:hint="eastAsia"/>
          <w:sz w:val="24"/>
          <w:szCs w:val="24"/>
        </w:rPr>
        <w:t>“药联金秋五折福利”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专属二维码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页面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参与活动。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765810" cy="1115060"/>
            <wp:effectExtent l="0" t="0" r="15240" b="8890"/>
            <wp:docPr id="5" name="图片 5" descr="41430807166358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4308071663586213"/>
                    <pic:cNvPicPr>
                      <a:picLocks noChangeAspect="1"/>
                    </pic:cNvPicPr>
                  </pic:nvPicPr>
                  <pic:blipFill>
                    <a:blip r:embed="rId4"/>
                    <a:srcRect t="7971" b="2121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113790" cy="1113790"/>
            <wp:effectExtent l="0" t="0" r="10160" b="10160"/>
            <wp:docPr id="1" name="图片 1" descr="24400688108607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4006881086078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lang w:val="en-US" w:eastAsia="zh-CN"/>
        </w:rPr>
        <w:t>POP及二维码式样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顾客根据页面提示，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先充值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80元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再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关注“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药联健康服务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”公众号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，“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我的权益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”中会出现总价值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160元的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三张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药联健康直付卡：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100元卡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，立即生效，有效期一年；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20元卡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，次日生效，有效期3个月；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40元卡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，分享链接获得8位好友助力（一个月内即可），然后顾客点击激活，次日即可生效，生效后有效期3个月。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1299845</wp:posOffset>
                </wp:positionV>
                <wp:extent cx="715010" cy="390525"/>
                <wp:effectExtent l="6350" t="15240" r="2159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4380" y="7193915"/>
                          <a:ext cx="71501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1pt;margin-top:102.35pt;height:30.75pt;width:56.3pt;z-index:251658240;v-text-anchor:middle;mso-width-relative:page;mso-height-relative:page;" fillcolor="#5B9BD5 [3204]" filled="t" stroked="t" coordsize="21600,21600" o:gfxdata="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wTon2gAAAAsBAAAPAAAAAAAAAAEAIAAA&#10;ACIAAABkcnMvZG93bnJldi54bWxQSwECFAAUAAAACACHTuJAL3xwPHwCAADbBAAADgAAAAAAAAAB&#10;ACAAAAApAQAAZHJzL2Uyb0RvYy54bWxQSwUGAAAAAAYABgBZAQAAFwYAAAAA&#10;" adj="15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608455" cy="2860675"/>
            <wp:effectExtent l="0" t="0" r="10795" b="15875"/>
            <wp:docPr id="2" name="图片 2" descr="微信图片_201811062105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621050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428115" cy="2895600"/>
            <wp:effectExtent l="0" t="0" r="635" b="0"/>
            <wp:docPr id="4" name="图片 4" descr="微信图片_2018110620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0620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以上示意图仅供参考，细节与实际稍有出入。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</w:p>
    <w:p>
      <w:pPr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下账：按照零售价</w:t>
      </w: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①权益卡内余额够付货款，下账金额=权益卡金额*0.88，收款方式选“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药联直付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”。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例如：顾客权益卡内有100元，购买了100元的商品，则下账选“药联直付”，下账金额为100*0.88=88元；购买了50元的商品，则下账金额为50*0.88=44元。</w:t>
      </w:r>
    </w:p>
    <w:p>
      <w:pPr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②权益卡内余额不够付货款，下账金额=权益卡金额*0.88（收款方式“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药联直付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” ）+补差价（原价，收款方式“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现金或各类社保卡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”）。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例如：顾客权益卡内有100元，买了120元的商品，则下账金额为：药联直付下100*0.88=88元，现金或社保卡下20元，合计1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若下账错误，造成差异，由门店赔付。</w:t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活动规则</w:t>
      </w:r>
    </w:p>
    <w:p>
      <w:p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1.</w:t>
      </w:r>
      <w:r>
        <w:rPr>
          <w:rFonts w:hint="eastAsia"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从未使用</w:t>
      </w:r>
      <w:r>
        <w:rPr>
          <w:rFonts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过</w:t>
      </w:r>
      <w:r>
        <w:rPr>
          <w:rFonts w:hint="eastAsia"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  <w:lang w:eastAsia="zh-CN"/>
        </w:rPr>
        <w:t>“</w:t>
      </w:r>
      <w:r>
        <w:rPr>
          <w:rFonts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药联</w:t>
      </w:r>
      <w:r>
        <w:rPr>
          <w:rFonts w:hint="eastAsia"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直付</w:t>
      </w:r>
      <w:r>
        <w:rPr>
          <w:rFonts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权益卡</w:t>
      </w:r>
      <w:r>
        <w:rPr>
          <w:rFonts w:hint="eastAsia"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  <w:lang w:eastAsia="zh-CN"/>
        </w:rPr>
        <w:t>”</w:t>
      </w:r>
      <w:r>
        <w:rPr>
          <w:rFonts w:ascii="Hiragino Sans GB W3" w:hAnsi="Hiragino Sans GB W3" w:eastAsia="Hiragino Sans GB W3" w:cs=".PingFangSC-Regular"/>
          <w:b/>
          <w:bCs/>
          <w:color w:val="FF0000"/>
          <w:kern w:val="0"/>
          <w:sz w:val="24"/>
          <w:szCs w:val="24"/>
        </w:rPr>
        <w:t>的用户</w:t>
      </w:r>
      <w:r>
        <w:rPr>
          <w:rFonts w:hint="eastAsia" w:ascii="Hiragino Sans GB W3" w:hAnsi="Hiragino Sans GB W3" w:eastAsia="Hiragino Sans GB W3" w:cs=".PingFangSC-Regular"/>
          <w:color w:val="353535"/>
          <w:kern w:val="0"/>
          <w:sz w:val="24"/>
          <w:szCs w:val="24"/>
        </w:rPr>
        <w:t>才能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参与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本次药联直付卡的五折优惠活动，每人限充值1次。</w:t>
      </w:r>
    </w:p>
    <w:p>
      <w:pPr>
        <w:numPr>
          <w:ilvl w:val="0"/>
          <w:numId w:val="0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以上药联健康直付卡均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无使用次数限制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，所有直营门店通用。</w:t>
      </w:r>
    </w:p>
    <w:p>
      <w:p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3.顾客持权益卡消费，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不输会员卡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不享受门店任何优惠活动（如特价、折扣、满减、买赠等）、不积分、不提现、不找零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如需为充值的8</w:t>
      </w:r>
      <w:r>
        <w:rPr>
          <w:rFonts w:asciiTheme="majorEastAsia" w:hAnsiTheme="majorEastAsia" w:eastAsiaTheme="majorEastAsia" w:cstheme="majorEastAsia"/>
          <w:b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元开发票，请顾客在公众号上联系药联的客服人员。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  <w:t>”群内及时询问，随时在线；或联系厂家业务代表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罗义松15828579240。</w:t>
      </w:r>
    </w:p>
    <w:p>
      <w:pPr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</w:rPr>
        <w:t>氛围布置要求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海报5张/店，</w:t>
      </w:r>
      <w:r>
        <w:rPr>
          <w:rFonts w:hint="eastAsia"/>
          <w:sz w:val="24"/>
          <w:szCs w:val="24"/>
          <w:lang w:eastAsia="zh-CN"/>
        </w:rPr>
        <w:t>充值二维码</w:t>
      </w:r>
      <w:r>
        <w:rPr>
          <w:rFonts w:hint="eastAsia"/>
          <w:sz w:val="24"/>
          <w:szCs w:val="24"/>
          <w:lang w:val="en-US" w:eastAsia="zh-CN"/>
        </w:rPr>
        <w:t>5张/店。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二维码贴在海报上</w:t>
      </w:r>
      <w:r>
        <w:rPr>
          <w:rFonts w:hint="eastAsia"/>
          <w:sz w:val="24"/>
          <w:szCs w:val="24"/>
          <w:lang w:val="en-US" w:eastAsia="zh-CN"/>
        </w:rPr>
        <w:t>，一张贴1个。海报</w:t>
      </w:r>
      <w:r>
        <w:rPr>
          <w:rFonts w:hint="eastAsia"/>
          <w:sz w:val="24"/>
          <w:szCs w:val="24"/>
        </w:rPr>
        <w:t>店外软木板展示1张，橱窗2张，中岛货架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张，收银台附近</w:t>
      </w:r>
      <w:bookmarkStart w:id="0" w:name="_GoBack"/>
      <w:bookmarkEnd w:id="0"/>
      <w:r>
        <w:rPr>
          <w:rFonts w:hint="eastAsia"/>
          <w:sz w:val="24"/>
          <w:szCs w:val="24"/>
        </w:rPr>
        <w:t>1张。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2.活动语音提前下载，活动期间循环播放。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门店：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：00前，发店外pop、</w:t>
      </w:r>
      <w:r>
        <w:rPr>
          <w:rFonts w:hint="eastAsia"/>
          <w:sz w:val="24"/>
          <w:szCs w:val="24"/>
          <w:lang w:eastAsia="zh-CN"/>
        </w:rPr>
        <w:t>橱窗</w:t>
      </w:r>
      <w:r>
        <w:rPr>
          <w:rFonts w:hint="eastAsia"/>
          <w:sz w:val="24"/>
          <w:szCs w:val="24"/>
        </w:rPr>
        <w:t>pop、</w:t>
      </w:r>
      <w:r>
        <w:rPr>
          <w:rFonts w:hint="eastAsia"/>
          <w:sz w:val="24"/>
          <w:szCs w:val="24"/>
          <w:lang w:eastAsia="zh-CN"/>
        </w:rPr>
        <w:t>店内</w:t>
      </w:r>
      <w:r>
        <w:rPr>
          <w:rFonts w:hint="eastAsia"/>
          <w:sz w:val="24"/>
          <w:szCs w:val="24"/>
        </w:rPr>
        <w:t>pop至少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张照片至片区微信群内。未发、少发、迟发，按20元/店缴纳成长金。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片长：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日17：00前回复检核结果至营运指挥群内，敷衍检核，按1分/店贡献绩效分。活动期间，请片长每日收集、追踪、协助解决所遇问题。</w:t>
      </w:r>
    </w:p>
    <w:p>
      <w:pPr>
        <w:spacing w:line="288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</w:rPr>
        <w:t>十一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十三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药联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金秋五折福利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2018年 </w:t>
      </w:r>
      <w:r>
        <w:rPr>
          <w:rFonts w:ascii="宋体" w:hAnsi="宋体" w:cs="宋体"/>
          <w:b/>
          <w:sz w:val="28"/>
          <w:szCs w:val="28"/>
          <w:u w:val="single"/>
        </w:rPr>
        <w:t>11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严勇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.PingFangSC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133CDE"/>
    <w:rsid w:val="00170F2F"/>
    <w:rsid w:val="00204626"/>
    <w:rsid w:val="002617C2"/>
    <w:rsid w:val="003036F1"/>
    <w:rsid w:val="00345A7B"/>
    <w:rsid w:val="00372B65"/>
    <w:rsid w:val="003A2AA5"/>
    <w:rsid w:val="00545162"/>
    <w:rsid w:val="005D3541"/>
    <w:rsid w:val="00611CA2"/>
    <w:rsid w:val="007739B7"/>
    <w:rsid w:val="007F02AC"/>
    <w:rsid w:val="00BC3D4F"/>
    <w:rsid w:val="00E37E21"/>
    <w:rsid w:val="00E4304D"/>
    <w:rsid w:val="00F05BD1"/>
    <w:rsid w:val="00FB00CF"/>
    <w:rsid w:val="0439477D"/>
    <w:rsid w:val="04CF5446"/>
    <w:rsid w:val="09C75B27"/>
    <w:rsid w:val="0C82500C"/>
    <w:rsid w:val="0FB71BFD"/>
    <w:rsid w:val="0FC4219D"/>
    <w:rsid w:val="132B7CE4"/>
    <w:rsid w:val="149C7A27"/>
    <w:rsid w:val="1C655084"/>
    <w:rsid w:val="21D6450B"/>
    <w:rsid w:val="24041F5C"/>
    <w:rsid w:val="29B04836"/>
    <w:rsid w:val="30500F3E"/>
    <w:rsid w:val="380A0CEB"/>
    <w:rsid w:val="38AE5A0A"/>
    <w:rsid w:val="3B2843D0"/>
    <w:rsid w:val="3D620993"/>
    <w:rsid w:val="41F35C7B"/>
    <w:rsid w:val="4200562C"/>
    <w:rsid w:val="422A1654"/>
    <w:rsid w:val="42456CD1"/>
    <w:rsid w:val="464E3061"/>
    <w:rsid w:val="4E9212F8"/>
    <w:rsid w:val="503744DD"/>
    <w:rsid w:val="51AC5EF7"/>
    <w:rsid w:val="53B02698"/>
    <w:rsid w:val="552C5330"/>
    <w:rsid w:val="5CC718D8"/>
    <w:rsid w:val="5F985DC9"/>
    <w:rsid w:val="63E12475"/>
    <w:rsid w:val="6EF36884"/>
    <w:rsid w:val="6F7001D7"/>
    <w:rsid w:val="71D30FA1"/>
    <w:rsid w:val="72093D6A"/>
    <w:rsid w:val="74206556"/>
    <w:rsid w:val="753F2BFF"/>
    <w:rsid w:val="773A0617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1257</Characters>
  <Lines>10</Lines>
  <Paragraphs>2</Paragraphs>
  <TotalTime>377</TotalTime>
  <ScaleCrop>false</ScaleCrop>
  <LinksUpToDate>false</LinksUpToDate>
  <CharactersWithSpaces>1475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Timeless.</cp:lastModifiedBy>
  <dcterms:modified xsi:type="dcterms:W3CDTF">2018-11-13T10:37:10Z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