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四川太极大药房连锁有限公司青羊区红星路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青羊区食品药品监督管理局：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药品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注册地址：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成都市锦江区庆云南街店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43号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CB0284829（13）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营业执照注册号（统一社会信用代码）：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  <w:lang w:val="en-US" w:eastAsia="zh-CN"/>
        </w:rPr>
        <w:t>9151010458263298x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CB028482（13）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2、我店具有生物制品核准经营范围，自2017年1月1日——2017年12月31日我店经营有血液制品。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王俊为冷藏设备管理及维护人员，明确邓黎为生物制品验收员，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保证了我店所经营药品的质量和使用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4、设施设备情况：我店配备有满足冷藏药品（含血液制品）储存要求的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kern w:val="0"/>
          <w:sz w:val="28"/>
          <w:szCs w:val="28"/>
          <w:highlight w:val="none"/>
          <w:lang w:val="en-US" w:eastAsia="zh-CN" w:bidi="ar"/>
        </w:rPr>
        <w:t xml:space="preserve">冷藏柜2台，型号1:YC-100,型号2：YC-180S </w:t>
      </w: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5、购进渠道：我店经营的含血液制品在内的所有商品由公司总部统一配送；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6、储运方式：我店经营的所有冷藏药品（含血液制品）由公司冷藏车直接配送到门店。冷藏药品全部储存在门店的冷藏柜中，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54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20%(50ml：10g)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  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883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人破伤风免疫球蛋白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静脉注射用人免疫球蛋白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5%：2.5g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成都蓉生药业</w:t>
            </w:r>
          </w:p>
        </w:tc>
        <w:tc>
          <w:tcPr>
            <w:tcW w:w="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2240" w:firstLineChars="8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四川太极大药房连锁有限公司青羊区红星路药店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5699"/>
    <w:rsid w:val="039B517E"/>
    <w:rsid w:val="12FD73A7"/>
    <w:rsid w:val="19552947"/>
    <w:rsid w:val="1ADE6086"/>
    <w:rsid w:val="1C015D4A"/>
    <w:rsid w:val="2EAA697A"/>
    <w:rsid w:val="308B54CB"/>
    <w:rsid w:val="30985EBF"/>
    <w:rsid w:val="4B6A47CE"/>
    <w:rsid w:val="4F1B4EC0"/>
    <w:rsid w:val="50027B19"/>
    <w:rsid w:val="62F75CB7"/>
    <w:rsid w:val="647371EF"/>
    <w:rsid w:val="66E57C4C"/>
    <w:rsid w:val="6D037328"/>
    <w:rsid w:val="7CBB2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2017-12-14T10:50:00Z</cp:lastPrinted>
  <dcterms:modified xsi:type="dcterms:W3CDTF">2018-01-03T06:52:56Z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