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left"/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战狼的故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事情节</w:t>
      </w:r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表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达</w:t>
      </w:r>
      <w:bookmarkStart w:id="0" w:name="_GoBack"/>
      <w:bookmarkEnd w:id="0"/>
      <w:r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0000FF"/>
          <w:spacing w:val="0"/>
          <w:sz w:val="21"/>
          <w:szCs w:val="21"/>
          <w:shd w:val="clear" w:fill="FFFFFF"/>
        </w:rPr>
        <w:t>是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一种爱国情怀和为国家、民族不惜牺牲的英雄主义精神，展现了“犯我中华者虽远必诛”的理念，体现了当代中国军人的责任和担当。影片的主角冷锋有担当、有勇气、有本事，他和他的战友们符合新一代革命军人标准要求，契合我们内心关于英雄的描绘，激起了观众心中的共鸣，重新唤起人们对英雄的崇拜、向往和追逐。而正是这种崇拜，能激起普通民众内心的豪情，深化青年官兵对自身使命和责任担当的认识；这种向往，为我们指引了改变现状、奋勇前行的方向；这种追逐，把当代革命军人内在的精神动力转变为投身强军实践的巨大力量。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《战狼》的魅力，还在于它制造了军人血性的强大引力场。从严格意义上讲，冷锋不算一个乖巧听话的“好兵”，他不够守纪，个性太强。但这些个性恰恰从另一个侧面展现了当代军人的血性，他违抗军令打死恐怖分子，展示他的疾恶如仇；他穿梭炮火硝烟和枪林弹雨，与狡猾的毒枭、雇佣兵斗智斗勇，展示了他的英勇和果敢。所有这些，把中国军人身上最阳刚、最英雄的一面展示得淋漓尽致，让观众在感叹新时代人民军队英勇善战的同时，也看到了英雄血性在新时代强军征程上焕发出新的活力。这种血性的强大引力场，对社会是一种展示，树起了人民军队的好样子，对广大青年是一种激励和引领。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文艺作品以其理念和艺术形象感染人、改变人，通过人内心的作用转化成改变世界的巨大力量，我们就需要这样能够激发正能量、激发血性的文艺作品。</w:t>
      </w:r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</w:p>
    <w:p>
      <w:pPr>
        <w:jc w:val="left"/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                                                 聚源店，曾小玲</w:t>
      </w:r>
    </w:p>
    <w:p>
      <w:pPr>
        <w:jc w:val="left"/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B403C"/>
    <w:rsid w:val="55602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2017-09-04T11:12:19Z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