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蒲思静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6D1AC5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651E39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2017-08-25T10:51:19Z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