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20%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）；门店效期品种不超过（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50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店内平均会员占比不能低于环比会员占比，每少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分，低于环比（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20%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）以上，此项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分。每多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加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  <w:lang w:eastAsia="zh-CN"/>
              </w:rPr>
              <w:t>藿香销售任务完成，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80%以下不得分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、门店拿药练习，每日演练一次并上传照片（少一次扣一分）。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、门店销售同比下滑（无去年同期销售数据门店，按上月销售数据进行对比，下滑</w:t>
            </w: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、门店会员新增及占比完成公司既定任务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  <w:lang w:eastAsia="zh-CN"/>
              </w:rPr>
              <w:t>！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color w:val="FF0000"/>
                <w:kern w:val="0"/>
                <w:sz w:val="20"/>
                <w:szCs w:val="20"/>
              </w:rPr>
              <w:t>5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</w:rPr>
              <w:t>、门店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  <w:lang w:eastAsia="zh-CN"/>
              </w:rPr>
              <w:t>黄金单品销售未完成，一项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  <w:lang w:val="en-US" w:eastAsia="zh-CN"/>
              </w:rPr>
              <w:t>1分，超过5项以上不得分。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6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、门店的处方药销售、登记、上传未按质管要求执行，远程处方上传较少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7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、门店客流对比去年同期出现下滑。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ind w:firstLine="2520" w:firstLineChars="1200"/>
        <w:jc w:val="both"/>
        <w:rPr>
          <w:rFonts w:hint="eastAsia" w:eastAsia="宋体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  <w:sz w:val="24"/>
        </w:rPr>
        <w:t>店长日常工作考核表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E96E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2017-08-23T09:48:05Z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