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168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龙潭西路店销售下滑措施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  <w:t>5月增量措施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一，做好每个月的促销活动和会员日的销售，争取活动和会员日期间能够完成任务.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，提高试用期员工的个人销售联合用药能力，要求每日学习5个产品知识。还有每天瑞商学习20个，当天考核，考核不合格者利用下班时间，到门店学习，直到考核合格为止。每周拿药练习至少2次以上，收银八步曲3次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三，利用新会员权利，积极办理会员卡，积极宣传新会员政策，做好服务，维护好老会员同时大力发展新会员。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四，做好每个月的超低会员特价，对顾客反映低价格的品种做好登记，及时调查周边竞争药房的价格。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五，做好收银台一句话服务，增加客单价。</w:t>
      </w:r>
      <w:bookmarkStart w:id="0" w:name="_GoBack"/>
      <w:bookmarkEnd w:id="0"/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7880" w:leftChars="0" w:firstLine="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2100" w:leftChars="0" w:firstLine="420" w:firstLineChars="0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07A70"/>
    <w:rsid w:val="6D0734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2017-05-02T13:31:48Z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