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崇州市崇阳镇文化西街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药店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关于药品流通领域专项整治行动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与药品经营质量管理规范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的自查报告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崇州市食品药品监督管理局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：</w:t>
      </w:r>
    </w:p>
    <w:p>
      <w:pPr>
        <w:spacing w:line="7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贵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局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2017年4月18日下发了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按照国家总局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关于整治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药品流通领域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违法经营行为的公告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药品经营质量管理规范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自查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的通知，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</w:t>
      </w:r>
      <w:r>
        <w:rPr>
          <w:rFonts w:hint="eastAsia" w:ascii="宋体" w:hAnsi="宋体" w:eastAsia="宋体" w:cs="宋体"/>
          <w:sz w:val="28"/>
          <w:szCs w:val="28"/>
        </w:rPr>
        <w:t>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立即</w:t>
      </w:r>
      <w:r>
        <w:rPr>
          <w:rFonts w:hint="eastAsia" w:ascii="宋体" w:hAnsi="宋体" w:eastAsia="宋体" w:cs="宋体"/>
          <w:sz w:val="28"/>
          <w:szCs w:val="28"/>
        </w:rPr>
        <w:t>组织员工开会学习，逐一落实展开自查。自查内容如下：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证照齐全，无挂靠、走票经营行为。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无超范围、超方式经营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行为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门店药品均统一从连锁公司总部购进和成都西部医药经营有限公司（三方物流）配送。未从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非法渠道购进药品。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处方药销售管理：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处方药未开架陈列，处方药凭处方销售。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并能提供远程审方记录、处方留存原件（复印件或电子档保存），做好处方药销售记录。在店堂内显眼位置张贴关于抗菌药物管理的“温馨提示”，门店人员熟记抗菌药物品种分类及销售管理规定。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治疗糖尿病、高血压、心血管类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等慢性病用药，门店首次必须做好顾客慢性病人员档案、建立慢性病用药记录。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门店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对冷藏药品做到随到随验，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收货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验收记录、运输交接记录齐全。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、远程执业药师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FFFFF"/>
        </w:rPr>
        <w:t>在职在岗。</w:t>
      </w:r>
      <w:r>
        <w:rPr>
          <w:rFonts w:hint="eastAsia" w:ascii="宋体" w:hAnsi="宋体" w:eastAsia="宋体" w:cs="宋体"/>
          <w:sz w:val="28"/>
          <w:szCs w:val="28"/>
        </w:rPr>
        <w:t>远程药学服务符合规定，能正常使用，处方及时上传，积极进行咨询服务。</w:t>
      </w:r>
    </w:p>
    <w:p>
      <w:pPr>
        <w:pStyle w:val="4"/>
        <w:numPr>
          <w:ilvl w:val="0"/>
          <w:numId w:val="0"/>
        </w:numPr>
        <w:ind w:leftChars="0" w:firstLine="4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含特殊药品复方制剂管理：专柜陈列、标识醒目，销售含特殊药品复方制剂时按规定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规范销售。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商品分类及人员管理：处方药与非处方药、药品与非药品、内服与外用分柜摆放、标识清晰，定期做好卫生及人员的健康检查。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药品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效期管理:无过期药品陈列及销售，门店人员对近效期商品进行催销。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门店销售后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按规定给消费者开具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购药凭证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GSP相关记录：如温湿度记录，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、健康档案、设备档案、处方药销售记录、含特殊药品复方制剂销售记录</w:t>
      </w:r>
      <w:r>
        <w:rPr>
          <w:rFonts w:hint="eastAsia" w:ascii="宋体" w:hAnsi="宋体" w:eastAsia="宋体" w:cs="宋体"/>
          <w:sz w:val="28"/>
          <w:szCs w:val="28"/>
        </w:rPr>
        <w:t>等各种记录表格及时完备，严格按GSP要求填写保存5年，计算机系统记录管理完整。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这次自查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行动</w:t>
      </w:r>
      <w:r>
        <w:rPr>
          <w:rFonts w:hint="eastAsia" w:ascii="宋体" w:hAnsi="宋体" w:eastAsia="宋体" w:cs="宋体"/>
          <w:sz w:val="28"/>
          <w:szCs w:val="28"/>
        </w:rPr>
        <w:t>，已整改和完善不足之处，在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今</w:t>
      </w:r>
      <w:r>
        <w:rPr>
          <w:rFonts w:hint="eastAsia" w:ascii="宋体" w:hAnsi="宋体" w:eastAsia="宋体" w:cs="宋体"/>
          <w:sz w:val="28"/>
          <w:szCs w:val="28"/>
        </w:rPr>
        <w:t>后的工作中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仍将</w:t>
      </w:r>
      <w:r>
        <w:rPr>
          <w:rFonts w:hint="eastAsia" w:ascii="宋体" w:hAnsi="宋体" w:eastAsia="宋体" w:cs="宋体"/>
          <w:sz w:val="28"/>
          <w:szCs w:val="28"/>
        </w:rPr>
        <w:t>不断的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改进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</w:t>
      </w:r>
      <w:r>
        <w:rPr>
          <w:rFonts w:hint="eastAsia" w:ascii="宋体" w:hAnsi="宋体" w:eastAsia="宋体" w:cs="宋体"/>
          <w:sz w:val="28"/>
          <w:szCs w:val="28"/>
        </w:rPr>
        <w:t>，做到更好。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门店将在公司的正确领导下、各级主管部门的监督下，加强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日常管理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加强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员工培训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力度。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飞检常态化的形式下，门店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  <w:t>严格按照GSP管理要求规范经营。</w:t>
      </w: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</w:rPr>
      </w:pPr>
    </w:p>
    <w:p>
      <w:pPr>
        <w:ind w:firstLine="480"/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shd w:val="clear" w:color="auto" w:fill="FFFFFF"/>
          <w:lang w:eastAsia="zh-CN"/>
        </w:rPr>
        <w:t>特此汇报！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四川太极大药房连锁有限公司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eastAsia="zh-CN"/>
        </w:rPr>
        <w:t>崇州市崇阳镇文化西街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2017 年 4  月 24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sectPr>
      <w:pgSz w:w="11906" w:h="16838"/>
      <w:pgMar w:top="1040" w:right="1266" w:bottom="12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..@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仿宋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53E29"/>
    <w:rsid w:val="002D7502"/>
    <w:rsid w:val="01C51083"/>
    <w:rsid w:val="06586E74"/>
    <w:rsid w:val="084836F6"/>
    <w:rsid w:val="1328673B"/>
    <w:rsid w:val="14741DE5"/>
    <w:rsid w:val="17795DED"/>
    <w:rsid w:val="1AD7247D"/>
    <w:rsid w:val="1FF7164A"/>
    <w:rsid w:val="28C53E29"/>
    <w:rsid w:val="2B384CC0"/>
    <w:rsid w:val="2C63704E"/>
    <w:rsid w:val="2D54566D"/>
    <w:rsid w:val="39015064"/>
    <w:rsid w:val="46133E81"/>
    <w:rsid w:val="46B55359"/>
    <w:rsid w:val="49963A73"/>
    <w:rsid w:val="5C951ACD"/>
    <w:rsid w:val="5E4E7158"/>
    <w:rsid w:val="62592E2D"/>
    <w:rsid w:val="6B724967"/>
    <w:rsid w:val="74724ED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2016-02-26T07:37:00Z</dcterms:created>
  <dc:creator>Administrator</dc:creator>
  <cp:lastModifiedBy>Administrator</cp:lastModifiedBy>
  <dcterms:modified xsi:type="dcterms:W3CDTF">2017-04-24T10:01:18Z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