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冯莉</w:t>
      </w:r>
      <w:r>
        <w:rPr>
          <w:rFonts w:hint="eastAsia" w:ascii="方正仿宋_GBK" w:eastAsia="方正仿宋_GBK"/>
          <w:szCs w:val="32"/>
        </w:rPr>
        <w:t xml:space="preserve">   所在分公司及门店：</w:t>
      </w:r>
      <w:r>
        <w:rPr>
          <w:rFonts w:hint="eastAsia" w:ascii="方正仿宋_GBK" w:eastAsia="方正仿宋_GBK"/>
          <w:szCs w:val="32"/>
          <w:lang w:eastAsia="zh-CN"/>
        </w:rPr>
        <w:t>四川太极</w:t>
      </w:r>
      <w:r>
        <w:rPr>
          <w:rFonts w:hint="eastAsia" w:ascii="方正仿宋_GBK" w:eastAsia="方正仿宋_GBK"/>
          <w:szCs w:val="32"/>
          <w:lang w:val="en-US" w:eastAsia="zh-CN"/>
        </w:rPr>
        <w:t xml:space="preserve"> 清江2店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月  </w:t>
      </w:r>
      <w:r>
        <w:rPr>
          <w:rFonts w:hint="eastAsia" w:ascii="方正仿宋_GBK" w:eastAsia="方正仿宋_GBK"/>
          <w:szCs w:val="32"/>
          <w:lang w:val="en-US" w:eastAsia="zh-CN"/>
        </w:rPr>
        <w:t>16</w:t>
      </w:r>
      <w:bookmarkStart w:id="0" w:name="_GoBack"/>
      <w:bookmarkEnd w:id="0"/>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altName w:val="宋体"/>
    <w:panose1 w:val="020B0604020202020204"/>
    <w:charset w:val="86"/>
    <w:family w:val="auto"/>
    <w:pitch w:val="default"/>
    <w:sig w:usb0="00000000" w:usb1="00000000" w:usb2="0000003F" w:usb3="00000000" w:csb0="603F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05B1592E"/>
    <w:rsid w:val="121D398F"/>
    <w:rsid w:val="27A77364"/>
    <w:rsid w:val="295C37A3"/>
    <w:rsid w:val="38CE7CB1"/>
    <w:rsid w:val="412C4843"/>
    <w:rsid w:val="6CB024CE"/>
    <w:rsid w:val="79CA7B2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标题 1 Char"/>
    <w:basedOn w:val="7"/>
    <w:link w:val="2"/>
    <w:qFormat/>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qFormat/>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808080" w:themeColor="text1" w:themeTint="80"/>
      <w14:textFill>
        <w14:solidFill>
          <w14:schemeClr w14:val="tx1">
            <w14:lumMod w14:val="50000"/>
            <w14:lumOff w14:val="50000"/>
          </w14:schemeClr>
        </w14:solidFill>
      </w14:textFill>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qFormat/>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qFormat/>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