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第一部分   储值卡销售流程（以修身卡为例）</w:t>
      </w:r>
    </w:p>
    <w:p>
      <w:pP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门店收取顾客应收金额190元→发放顾客修身卡→现场查询余额、检核金额是否正确（信息部设置查询功能10115）→打印收银小票（自制，样板见附件）→门店将此笔款项（190元）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单独存款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，并在存款单中注明销售的储值卡的卡号（8位数）→单独填写一张门店缴款单，存款单与缴款单订在一起→在缴款单的最上面写“冲帐**的个人欠款”，在缴款单的备注处写明：修身卡卡号**，冲店长**的个人欠款→票据传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财务部→财务部根据门店银行存款单冲店长的个人欠账。</w:t>
      </w:r>
    </w:p>
    <w:p>
      <w:pP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cs="宋体"/>
          <w:b/>
          <w:bCs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第二部分 储值卡使用流程：（以顾客买了200元的修身卡，消费了150元为例）</w:t>
      </w:r>
    </w:p>
    <w:p>
      <w:pP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     顾客选购150元的商品---把选购的商品录入收银系统---收银结算（Pageup键）---在收银方式“储值卡”中输入150元--下账（F9），打印出收银小票--在小票最下面书写“储值卡消费150元”，并让顾客在小票上签字确认---收银小票与晚上填写的门店缴款单订在一起，并在缴款单备注处写明“太极储值卡消费150元”----把小票和缴款单带回财务部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2673"/>
    <w:rsid w:val="0CED08F4"/>
    <w:rsid w:val="4A31116F"/>
    <w:rsid w:val="60C815BF"/>
    <w:rsid w:val="74690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2016-09-04T08:17:51Z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2052-10.1.0.5865</vt:lpwstr>
  </property>
</Properties>
</file>