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外销</w:t>
      </w:r>
      <w:r>
        <w:rPr>
          <w:rFonts w:hint="eastAsia" w:ascii="宋体" w:hAnsi="宋体"/>
          <w:b/>
          <w:sz w:val="44"/>
          <w:szCs w:val="44"/>
          <w:lang w:eastAsia="zh-CN"/>
        </w:rPr>
        <w:t>部</w:t>
      </w: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6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上半年</w:t>
      </w:r>
      <w:r>
        <w:rPr>
          <w:rFonts w:hint="eastAsia" w:ascii="宋体" w:hAnsi="宋体"/>
          <w:b/>
          <w:sz w:val="44"/>
          <w:szCs w:val="44"/>
        </w:rPr>
        <w:t>总结及2016年</w:t>
      </w:r>
      <w:r>
        <w:rPr>
          <w:rFonts w:hint="eastAsia" w:ascii="宋体" w:hAnsi="宋体"/>
          <w:b/>
          <w:sz w:val="44"/>
          <w:szCs w:val="44"/>
          <w:lang w:eastAsia="zh-CN"/>
        </w:rPr>
        <w:t>下半年</w:t>
      </w:r>
      <w:r>
        <w:rPr>
          <w:rFonts w:hint="eastAsia" w:ascii="宋体" w:hAnsi="宋体"/>
          <w:b/>
          <w:sz w:val="44"/>
          <w:szCs w:val="44"/>
        </w:rPr>
        <w:t>计划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销售数据对比分析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szCs w:val="21"/>
        </w:rPr>
        <w:t xml:space="preserve">  单位：元</w:t>
      </w:r>
    </w:p>
    <w:tbl>
      <w:tblPr>
        <w:tblStyle w:val="3"/>
        <w:tblpPr w:leftFromText="180" w:rightFromText="180" w:vertAnchor="text" w:horzAnchor="page" w:tblpX="1759" w:tblpY="593"/>
        <w:tblOverlap w:val="never"/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258"/>
        <w:gridCol w:w="1125"/>
        <w:gridCol w:w="825"/>
        <w:gridCol w:w="1275"/>
        <w:gridCol w:w="1155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2015年1-6月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2016年1-6月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实货销售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552632.36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58432.32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10.57%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611508.38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87798.46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储值卡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工行卡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654395.64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260610.47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39.82%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900870.31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364692.96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607156.27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195571.71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32.21%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748218.36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260847.51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亿保卡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288194.43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98970.55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34.34%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377975.91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134139.93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27.88%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279384.71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89857.45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2107252.72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614944.05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29.18%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2917957.67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937336.31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32.12%</w:t>
            </w:r>
          </w:p>
        </w:tc>
      </w:tr>
    </w:tbl>
    <w:p>
      <w:pPr>
        <w:ind w:firstLine="689" w:firstLineChars="24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/>
          <w:b/>
          <w:sz w:val="28"/>
          <w:szCs w:val="28"/>
        </w:rPr>
        <w:t>总体销售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291.80</w:t>
      </w:r>
      <w:r>
        <w:rPr>
          <w:rFonts w:hint="eastAsia" w:ascii="宋体" w:hAnsi="宋体"/>
          <w:b/>
          <w:sz w:val="28"/>
          <w:szCs w:val="28"/>
        </w:rPr>
        <w:t>万元，同比销售增长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81.70</w:t>
      </w:r>
      <w:r>
        <w:rPr>
          <w:rFonts w:hint="eastAsia" w:ascii="宋体" w:hAnsi="宋体"/>
          <w:b/>
          <w:sz w:val="28"/>
          <w:szCs w:val="28"/>
        </w:rPr>
        <w:t>万元，增</w:t>
      </w:r>
      <w:r>
        <w:rPr>
          <w:rFonts w:hint="eastAsia" w:ascii="宋体" w:hAnsi="宋体"/>
          <w:b/>
          <w:sz w:val="28"/>
          <w:szCs w:val="28"/>
          <w:lang w:eastAsia="zh-CN"/>
        </w:rPr>
        <w:t>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b/>
          <w:sz w:val="28"/>
          <w:szCs w:val="28"/>
        </w:rPr>
        <w:t>%。201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上半年实现</w:t>
      </w:r>
      <w:r>
        <w:rPr>
          <w:rFonts w:hint="eastAsia" w:ascii="宋体" w:hAnsi="宋体"/>
          <w:b/>
          <w:sz w:val="28"/>
          <w:szCs w:val="28"/>
        </w:rPr>
        <w:t>毛利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93.73</w:t>
      </w:r>
      <w:r>
        <w:rPr>
          <w:rFonts w:hint="eastAsia" w:ascii="宋体" w:hAnsi="宋体"/>
          <w:b/>
          <w:sz w:val="28"/>
          <w:szCs w:val="28"/>
        </w:rPr>
        <w:t>万元，同比毛利</w:t>
      </w:r>
      <w:r>
        <w:rPr>
          <w:rFonts w:hint="eastAsia" w:ascii="宋体" w:hAnsi="宋体"/>
          <w:b/>
          <w:sz w:val="28"/>
          <w:szCs w:val="28"/>
          <w:lang w:eastAsia="zh-CN"/>
        </w:rPr>
        <w:t>增长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32.24</w:t>
      </w:r>
      <w:r>
        <w:rPr>
          <w:rFonts w:hint="eastAsia" w:ascii="宋体" w:hAnsi="宋体"/>
          <w:b/>
          <w:sz w:val="28"/>
          <w:szCs w:val="28"/>
        </w:rPr>
        <w:t>万元，</w:t>
      </w:r>
      <w:r>
        <w:rPr>
          <w:rFonts w:hint="eastAsia" w:ascii="宋体" w:hAnsi="宋体"/>
          <w:b/>
          <w:sz w:val="28"/>
          <w:szCs w:val="28"/>
          <w:lang w:eastAsia="zh-CN"/>
        </w:rPr>
        <w:t>增长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52.43</w:t>
      </w:r>
      <w:r>
        <w:rPr>
          <w:rFonts w:hint="eastAsia" w:ascii="宋体" w:hAnsi="宋体"/>
          <w:b/>
          <w:sz w:val="28"/>
          <w:szCs w:val="28"/>
        </w:rPr>
        <w:t>%。储值卡总体销售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230.64</w:t>
      </w:r>
      <w:r>
        <w:rPr>
          <w:rFonts w:hint="eastAsia" w:ascii="宋体" w:hAnsi="宋体"/>
          <w:b/>
          <w:sz w:val="28"/>
          <w:szCs w:val="28"/>
        </w:rPr>
        <w:t>万元，同比销售增长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75.18</w:t>
      </w:r>
      <w:r>
        <w:rPr>
          <w:rFonts w:hint="eastAsia" w:ascii="宋体" w:hAnsi="宋体"/>
          <w:b/>
          <w:sz w:val="28"/>
          <w:szCs w:val="28"/>
        </w:rPr>
        <w:t>万元，增加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48</w:t>
      </w:r>
      <w:r>
        <w:rPr>
          <w:rFonts w:hint="eastAsia" w:ascii="宋体" w:hAnsi="宋体"/>
          <w:b/>
          <w:sz w:val="28"/>
          <w:szCs w:val="28"/>
        </w:rPr>
        <w:t>%。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分析：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实货销售销售及毛利分别增长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5.89</w:t>
      </w:r>
      <w:r>
        <w:rPr>
          <w:rFonts w:hint="eastAsia" w:ascii="宋体" w:hAnsi="宋体" w:cs="宋体"/>
          <w:b/>
          <w:bCs/>
          <w:sz w:val="28"/>
          <w:szCs w:val="28"/>
        </w:rPr>
        <w:t>万元、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2.93</w:t>
      </w:r>
      <w:r>
        <w:rPr>
          <w:rFonts w:hint="eastAsia" w:ascii="宋体" w:hAnsi="宋体" w:cs="宋体"/>
          <w:b/>
          <w:bCs/>
          <w:sz w:val="28"/>
          <w:szCs w:val="28"/>
        </w:rPr>
        <w:t>万元。亿保卡销售及毛利分别增长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24.65</w:t>
      </w:r>
      <w:r>
        <w:rPr>
          <w:rFonts w:hint="eastAsia" w:ascii="宋体" w:hAnsi="宋体" w:cs="宋体"/>
          <w:b/>
          <w:bCs/>
          <w:sz w:val="28"/>
          <w:szCs w:val="28"/>
        </w:rPr>
        <w:t>万元、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10.41</w:t>
      </w:r>
      <w:r>
        <w:rPr>
          <w:rFonts w:hint="eastAsia" w:ascii="宋体" w:hAnsi="宋体" w:cs="宋体"/>
          <w:b/>
          <w:bCs/>
          <w:sz w:val="28"/>
          <w:szCs w:val="28"/>
        </w:rPr>
        <w:t>万元，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泰康</w:t>
      </w:r>
      <w:r>
        <w:rPr>
          <w:rFonts w:hint="eastAsia" w:ascii="宋体" w:hAnsi="宋体" w:cs="宋体"/>
          <w:b/>
          <w:bCs/>
          <w:sz w:val="28"/>
          <w:szCs w:val="28"/>
        </w:rPr>
        <w:t>卡销售及毛利增长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14.11</w:t>
      </w:r>
      <w:r>
        <w:rPr>
          <w:rFonts w:hint="eastAsia" w:ascii="宋体" w:hAnsi="宋体" w:cs="宋体"/>
          <w:b/>
          <w:bCs/>
          <w:sz w:val="28"/>
          <w:szCs w:val="28"/>
        </w:rPr>
        <w:t>万元、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6.53</w:t>
      </w:r>
      <w:r>
        <w:rPr>
          <w:rFonts w:hint="eastAsia" w:ascii="宋体" w:hAnsi="宋体" w:cs="宋体"/>
          <w:b/>
          <w:bCs/>
          <w:sz w:val="28"/>
          <w:szCs w:val="28"/>
        </w:rPr>
        <w:t>万元。平安卡销售及毛利增长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27.45</w:t>
      </w:r>
      <w:r>
        <w:rPr>
          <w:rFonts w:hint="eastAsia" w:ascii="宋体" w:hAnsi="宋体" w:cs="宋体"/>
          <w:b/>
          <w:bCs/>
          <w:sz w:val="28"/>
          <w:szCs w:val="28"/>
        </w:rPr>
        <w:t>万元、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8.85</w:t>
      </w:r>
      <w:r>
        <w:rPr>
          <w:rFonts w:hint="eastAsia" w:ascii="宋体" w:hAnsi="宋体" w:cs="宋体"/>
          <w:b/>
          <w:bCs/>
          <w:sz w:val="28"/>
          <w:szCs w:val="28"/>
        </w:rPr>
        <w:t>万元。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工作亮点</w:t>
      </w:r>
    </w:p>
    <w:p>
      <w:pPr>
        <w:numPr>
          <w:ilvl w:val="0"/>
          <w:numId w:val="2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新引进保险卡类客户普康卡，仁和国康卡，合信通卡在今年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6月底均以正式上线在门店可使用。</w:t>
      </w:r>
      <w:r>
        <w:rPr>
          <w:rFonts w:hint="eastAsia" w:ascii="宋体" w:hAnsi="宋体"/>
          <w:b/>
          <w:sz w:val="28"/>
          <w:szCs w:val="28"/>
          <w:lang w:eastAsia="zh-CN"/>
        </w:rPr>
        <w:t>预计今年下半年会新增销售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20万元以上，毛利6万元以上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减员增效，同比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2015年上半年由4名外销人员减至2名销售人员，人效大幅度提高，由半年销售人均52.50万元/人/半年提升至145.50万元/人/半年，增幅达到177%，接近翻2翻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急速提高工行储值卡转化率同比去年增加销售额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25万元毛利10万元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工作中存在的问题</w:t>
      </w:r>
    </w:p>
    <w:p>
      <w:pPr>
        <w:numPr>
          <w:ilvl w:val="0"/>
          <w:numId w:val="3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微商销售增量不足，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销售6万余元，毛利接近2万元，与预期差距较大。</w:t>
      </w:r>
    </w:p>
    <w:p>
      <w:pPr>
        <w:numPr>
          <w:ilvl w:val="0"/>
          <w:numId w:val="3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加盟药房销售疲软。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2016年</w:t>
      </w:r>
      <w:r>
        <w:rPr>
          <w:rFonts w:hint="eastAsia" w:ascii="宋体" w:hAnsi="宋体"/>
          <w:b/>
          <w:sz w:val="28"/>
          <w:szCs w:val="28"/>
          <w:lang w:eastAsia="zh-CN"/>
        </w:rPr>
        <w:t>下半年</w:t>
      </w:r>
      <w:r>
        <w:rPr>
          <w:rFonts w:hint="eastAsia" w:ascii="宋体" w:hAnsi="宋体"/>
          <w:b/>
          <w:sz w:val="28"/>
          <w:szCs w:val="28"/>
        </w:rPr>
        <w:t>工作计划</w:t>
      </w:r>
      <w:r>
        <w:rPr>
          <w:rFonts w:hint="eastAsia" w:ascii="宋体" w:hAnsi="宋体"/>
          <w:b/>
          <w:sz w:val="28"/>
          <w:szCs w:val="28"/>
          <w:lang w:eastAsia="zh-CN"/>
        </w:rPr>
        <w:t>指标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</w:t>
      </w:r>
      <w:r>
        <w:rPr>
          <w:rFonts w:hint="eastAsia" w:ascii="宋体" w:hAnsi="宋体"/>
          <w:b/>
          <w:szCs w:val="21"/>
        </w:rPr>
        <w:t>单位：万元</w:t>
      </w:r>
    </w:p>
    <w:tbl>
      <w:tblPr>
        <w:tblStyle w:val="3"/>
        <w:tblW w:w="5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15"/>
        <w:gridCol w:w="1137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大类</w:t>
            </w: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小类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销售额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实货销售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储值卡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工行卡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泰康卡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亿保卡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平安卡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</w:t>
            </w:r>
          </w:p>
        </w:tc>
      </w:tr>
    </w:tbl>
    <w:p>
      <w:pPr>
        <w:numPr>
          <w:ilvl w:val="0"/>
          <w:numId w:val="4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保险卡类业务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增量手段：</w:t>
      </w:r>
      <w:r>
        <w:rPr>
          <w:rFonts w:hint="eastAsia" w:ascii="宋体" w:hAnsi="宋体"/>
          <w:b/>
          <w:sz w:val="28"/>
          <w:szCs w:val="28"/>
          <w:lang w:eastAsia="zh-CN"/>
        </w:rPr>
        <w:t>成立项目小组，联合营运部，财务部，外销部共同维护客户，外销负责与客户对接（专人专项对口负责），营运部负责活动促销的专项设计（刺激客户到店消费），财务负责对账（加快资金回笼）。从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3季度开始预计会有大幅提升。</w:t>
      </w:r>
    </w:p>
    <w:p>
      <w:pPr>
        <w:numPr>
          <w:ilvl w:val="0"/>
          <w:numId w:val="4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微商</w:t>
      </w: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增量手段：</w:t>
      </w:r>
      <w:r>
        <w:rPr>
          <w:rFonts w:hint="eastAsia" w:ascii="宋体" w:hAnsi="宋体"/>
          <w:b/>
          <w:sz w:val="28"/>
          <w:szCs w:val="28"/>
          <w:lang w:eastAsia="zh-CN"/>
        </w:rPr>
        <w:t>微商转型成立项目小组，联合信息部，商品部，营运部，外销部共同开展微商工作。信息部负责微商城平台的优化，商品部负责引进筛选优质商品，外销部带动运营团队宣传推广销售。预计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4季度销量会回升。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加盟药店销售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增量手段：</w:t>
      </w:r>
      <w:r>
        <w:rPr>
          <w:rFonts w:hint="eastAsia" w:ascii="宋体" w:hAnsi="宋体"/>
          <w:b/>
          <w:sz w:val="28"/>
          <w:szCs w:val="28"/>
          <w:lang w:eastAsia="zh-CN"/>
        </w:rPr>
        <w:t>加盟药房销售，联合业务部，质管部，商品部，外销部，联合运作，商品部与业务部负责优选加盟药店销售商品，质管部负责建立健全的加盟药店信息，外销部地推加盟药店药品销售。今年的主要目的是建立好相关沟通机制，梳理好销售流程，确定好销售品种，为明年的销售打下基础。协助质管部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推进事实加盟药房的“六统一”。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王灵</w:t>
      </w:r>
    </w:p>
    <w:p/>
    <w:sectPr>
      <w:pgSz w:w="11906" w:h="16838"/>
      <w:pgMar w:top="1440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ED2"/>
    <w:multiLevelType w:val="multilevel"/>
    <w:tmpl w:val="38CB7ED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6248F9"/>
    <w:multiLevelType w:val="multilevel"/>
    <w:tmpl w:val="4E6248F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F3D6B8D"/>
    <w:multiLevelType w:val="multilevel"/>
    <w:tmpl w:val="5F3D6B8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48F5BD4"/>
    <w:multiLevelType w:val="multilevel"/>
    <w:tmpl w:val="748F5B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4524"/>
    <w:rsid w:val="00504E06"/>
    <w:rsid w:val="33AE65F7"/>
    <w:rsid w:val="43A44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2016-07-14T06:03:00Z</dcterms:created>
  <dc:creator>Administrator</dc:creator>
  <cp:lastModifiedBy>Administrator</cp:lastModifiedBy>
  <dcterms:modified xsi:type="dcterms:W3CDTF">2016-07-14T15:32:56Z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