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宋体" w:hAnsi="宋体" w:cs="宋体" w:eastAsia="宋体"/>
          <w:b/>
          <w:color w:val="000000"/>
          <w:spacing w:val="0"/>
          <w:position w:val="0"/>
          <w:sz w:val="28"/>
          <w:shd w:fill="auto" w:val="clear"/>
        </w:rPr>
        <w:t xml:space="preserve">店员考核日常工作表</w:t>
      </w:r>
    </w:p>
    <w:tbl>
      <w:tblPr/>
      <w:tblGrid>
        <w:gridCol w:w="1240"/>
        <w:gridCol w:w="759"/>
        <w:gridCol w:w="5380"/>
        <w:gridCol w:w="778"/>
        <w:gridCol w:w="721"/>
      </w:tblGrid>
      <w:tr>
        <w:trPr>
          <w:trHeight w:val="463" w:hRule="auto"/>
          <w:jc w:val="left"/>
        </w:trPr>
        <w:tc>
          <w:tcPr>
            <w:tcW w:w="1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绩效指标</w:t>
            </w:r>
          </w:p>
        </w:tc>
        <w:tc>
          <w:tcPr>
            <w:tcW w:w="75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权重</w:t>
            </w:r>
          </w:p>
        </w:tc>
        <w:tc>
          <w:tcPr>
            <w:tcW w:w="53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描述</w:t>
            </w:r>
          </w:p>
        </w:tc>
        <w:tc>
          <w:tcPr>
            <w:tcW w:w="77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分数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区间</w:t>
            </w:r>
          </w:p>
        </w:tc>
        <w:tc>
          <w:tcPr>
            <w:tcW w:w="72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得分</w:t>
            </w:r>
          </w:p>
        </w:tc>
      </w:tr>
      <w:tr>
        <w:trPr>
          <w:trHeight w:val="945" w:hRule="auto"/>
          <w:jc w:val="left"/>
        </w:trPr>
        <w:tc>
          <w:tcPr>
            <w:tcW w:w="1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销售技能</w:t>
            </w:r>
          </w:p>
        </w:tc>
        <w:tc>
          <w:tcPr>
            <w:tcW w:w="7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20%</w:t>
            </w:r>
          </w:p>
        </w:tc>
        <w:tc>
          <w:tcPr>
            <w:tcW w:w="53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  <w:t xml:space="preserve">销售意识强，熟悉药品专业知识，销售成功率达</w:t>
            </w:r>
            <w:r>
              <w:rPr>
                <w:rFonts w:ascii="楷体_GB2312" w:hAnsi="楷体_GB2312" w:cs="楷体_GB2312" w:eastAsia="楷体_GB2312"/>
                <w:color w:val="000000"/>
                <w:spacing w:val="0"/>
                <w:position w:val="0"/>
                <w:sz w:val="20"/>
                <w:shd w:fill="auto" w:val="clear"/>
              </w:rPr>
              <w:t xml:space="preserve">90%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  <w:t xml:space="preserve"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72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4　</w:t>
            </w:r>
          </w:p>
        </w:tc>
      </w:tr>
      <w:tr>
        <w:trPr>
          <w:trHeight w:val="705" w:hRule="auto"/>
          <w:jc w:val="left"/>
        </w:trPr>
        <w:tc>
          <w:tcPr>
            <w:tcW w:w="1240" w:type="dxa"/>
            <w:vMerge w:val="restart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团队协作</w:t>
            </w:r>
          </w:p>
        </w:tc>
        <w:tc>
          <w:tcPr>
            <w:tcW w:w="75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  <w:t xml:space="preserve"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10　</w:t>
            </w:r>
          </w:p>
        </w:tc>
      </w:tr>
      <w:tr>
        <w:trPr>
          <w:trHeight w:val="480" w:hRule="auto"/>
          <w:jc w:val="left"/>
        </w:trPr>
        <w:tc>
          <w:tcPr>
            <w:tcW w:w="124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  <w:t xml:space="preserve">主动完成店长安排的来货上架，借货、送货等工作。</w:t>
            </w: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10　</w:t>
            </w:r>
          </w:p>
        </w:tc>
      </w:tr>
      <w:tr>
        <w:trPr>
          <w:trHeight w:val="720" w:hRule="auto"/>
          <w:jc w:val="left"/>
        </w:trPr>
        <w:tc>
          <w:tcPr>
            <w:tcW w:w="12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客户服务与满意度</w:t>
            </w:r>
          </w:p>
        </w:tc>
        <w:tc>
          <w:tcPr>
            <w:tcW w:w="759" w:type="dxa"/>
            <w:vMerge w:val="restart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20%</w:t>
            </w:r>
          </w:p>
        </w:tc>
        <w:tc>
          <w:tcPr>
            <w:tcW w:w="5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  <w:t xml:space="preserve"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cs="楷体_GB2312" w:eastAsia="楷体_GB2312"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  <w:t xml:space="preserve"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7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5　</w:t>
            </w:r>
          </w:p>
        </w:tc>
      </w:tr>
      <w:tr>
        <w:trPr>
          <w:trHeight w:val="720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全月无顾客投诉。如当月有顾客投诉，每投诉一次扣</w:t>
            </w:r>
            <w:r>
              <w:rPr>
                <w:rFonts w:ascii="仿宋_GB2312" w:hAnsi="仿宋_GB2312" w:cs="仿宋_GB2312" w:eastAsia="仿宋_GB2312"/>
                <w:color w:val="000000"/>
                <w:spacing w:val="0"/>
                <w:position w:val="0"/>
                <w:sz w:val="18"/>
                <w:shd w:fill="auto" w:val="clear"/>
              </w:rPr>
              <w:t xml:space="preserve">3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分，投诉满</w:t>
            </w:r>
            <w:r>
              <w:rPr>
                <w:rFonts w:ascii="仿宋_GB2312" w:hAnsi="仿宋_GB2312" w:cs="仿宋_GB2312" w:eastAsia="仿宋_GB2312"/>
                <w:color w:val="000000"/>
                <w:spacing w:val="0"/>
                <w:position w:val="0"/>
                <w:sz w:val="18"/>
                <w:shd w:fill="auto" w:val="clear"/>
              </w:rPr>
              <w:t xml:space="preserve">3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次，此项为</w:t>
            </w:r>
            <w:r>
              <w:rPr>
                <w:rFonts w:ascii="仿宋_GB2312" w:hAnsi="仿宋_GB2312" w:cs="仿宋_GB2312" w:eastAsia="仿宋_GB2312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分。如涉及经济损失的，根据损失金额大小承担相应赔偿责任。</w:t>
            </w: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7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15　</w:t>
            </w:r>
          </w:p>
        </w:tc>
      </w:tr>
      <w:tr>
        <w:trPr>
          <w:trHeight w:val="770" w:hRule="auto"/>
          <w:jc w:val="left"/>
        </w:trPr>
        <w:tc>
          <w:tcPr>
            <w:tcW w:w="1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出勤情况</w:t>
            </w:r>
          </w:p>
        </w:tc>
        <w:tc>
          <w:tcPr>
            <w:tcW w:w="75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10%</w:t>
            </w:r>
          </w:p>
        </w:tc>
        <w:tc>
          <w:tcPr>
            <w:tcW w:w="5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本月全勤满分（全勤以在岗为准）。正常请假，每少一天扣</w:t>
            </w:r>
            <w:r>
              <w:rPr>
                <w:rFonts w:ascii="仿宋_GB2312" w:hAnsi="仿宋_GB2312" w:cs="仿宋_GB2312" w:eastAsia="仿宋_GB2312"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分，三天及以上扣</w:t>
            </w:r>
            <w:r>
              <w:rPr>
                <w:rFonts w:ascii="仿宋_GB2312" w:hAnsi="仿宋_GB2312" w:cs="仿宋_GB2312" w:eastAsia="仿宋_GB2312"/>
                <w:color w:val="000000"/>
                <w:spacing w:val="0"/>
                <w:position w:val="0"/>
                <w:sz w:val="18"/>
                <w:shd w:fill="auto" w:val="clear"/>
              </w:rPr>
              <w:t xml:space="preserve">5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分。旷工一天</w:t>
            </w:r>
            <w:r>
              <w:rPr>
                <w:rFonts w:ascii="仿宋_GB2312" w:hAnsi="仿宋_GB2312" w:cs="仿宋_GB2312" w:eastAsia="仿宋_GB2312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分。</w:t>
            </w: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　</w:t>
            </w:r>
          </w:p>
        </w:tc>
      </w:tr>
      <w:tr>
        <w:trPr>
          <w:trHeight w:val="460" w:hRule="auto"/>
          <w:jc w:val="left"/>
        </w:trPr>
        <w:tc>
          <w:tcPr>
            <w:tcW w:w="12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当月重点工作</w:t>
            </w:r>
          </w:p>
        </w:tc>
        <w:tc>
          <w:tcPr>
            <w:tcW w:w="759" w:type="dxa"/>
            <w:vMerge w:val="restart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50%</w:t>
            </w:r>
          </w:p>
        </w:tc>
        <w:tc>
          <w:tcPr>
            <w:tcW w:w="53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1、个人销售同比上月，下滑扣3分</w:t>
            </w: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</w:tr>
      <w:tr>
        <w:trPr>
          <w:trHeight w:val="467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2、个人毛利额同比上月，下滑扣3分</w:t>
            </w: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</w:tr>
      <w:tr>
        <w:trPr>
          <w:trHeight w:val="465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3、一单一品率同比上月，下滑一个百分比扣1分</w:t>
            </w: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</w:tr>
      <w:tr>
        <w:trPr>
          <w:trHeight w:val="480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4、客品数同比上月，下滑一个点扣1分</w:t>
            </w: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</w:tr>
      <w:tr>
        <w:trPr>
          <w:trHeight w:val="480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5、公司下发本月各种文件掌握情况，不熟悉的一项扣1分</w:t>
            </w: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7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</w:tr>
      <w:tr>
        <w:trPr>
          <w:trHeight w:val="492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2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合计</w:t>
            </w:r>
          </w:p>
        </w:tc>
        <w:tc>
          <w:tcPr>
            <w:tcW w:w="7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94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考评人（店长）：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  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殷岱菊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                               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被考评人：郑丽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说明：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、当月重点工作由片长制定；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     2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、本表由营运部于每月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27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日上交本月考核表到人事部；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     3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、本表由片长于每月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25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日下发次月考核内容；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000000"/>
          <w:spacing w:val="0"/>
          <w:position w:val="0"/>
          <w:sz w:val="28"/>
          <w:shd w:fill="auto" w:val="clear"/>
        </w:rPr>
        <w:t xml:space="preserve">苏佳店员考核日常工作表</w:t>
      </w:r>
    </w:p>
    <w:tbl>
      <w:tblPr/>
      <w:tblGrid>
        <w:gridCol w:w="1240"/>
        <w:gridCol w:w="759"/>
        <w:gridCol w:w="5380"/>
        <w:gridCol w:w="778"/>
        <w:gridCol w:w="721"/>
      </w:tblGrid>
      <w:tr>
        <w:trPr>
          <w:trHeight w:val="463" w:hRule="auto"/>
          <w:jc w:val="left"/>
        </w:trPr>
        <w:tc>
          <w:tcPr>
            <w:tcW w:w="1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绩效指标</w:t>
            </w:r>
          </w:p>
        </w:tc>
        <w:tc>
          <w:tcPr>
            <w:tcW w:w="75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权重</w:t>
            </w:r>
          </w:p>
        </w:tc>
        <w:tc>
          <w:tcPr>
            <w:tcW w:w="53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描述</w:t>
            </w:r>
          </w:p>
        </w:tc>
        <w:tc>
          <w:tcPr>
            <w:tcW w:w="77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分数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区间</w:t>
            </w:r>
          </w:p>
        </w:tc>
        <w:tc>
          <w:tcPr>
            <w:tcW w:w="72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得分</w:t>
            </w:r>
          </w:p>
        </w:tc>
      </w:tr>
      <w:tr>
        <w:trPr>
          <w:trHeight w:val="945" w:hRule="auto"/>
          <w:jc w:val="left"/>
        </w:trPr>
        <w:tc>
          <w:tcPr>
            <w:tcW w:w="1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销售技能</w:t>
            </w:r>
          </w:p>
        </w:tc>
        <w:tc>
          <w:tcPr>
            <w:tcW w:w="7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20%</w:t>
            </w:r>
          </w:p>
        </w:tc>
        <w:tc>
          <w:tcPr>
            <w:tcW w:w="53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  <w:t xml:space="preserve">销售意识强，熟悉药品专业知识，销售成功率达</w:t>
            </w:r>
            <w:r>
              <w:rPr>
                <w:rFonts w:ascii="楷体_GB2312" w:hAnsi="楷体_GB2312" w:cs="楷体_GB2312" w:eastAsia="楷体_GB2312"/>
                <w:color w:val="000000"/>
                <w:spacing w:val="0"/>
                <w:position w:val="0"/>
                <w:sz w:val="20"/>
                <w:shd w:fill="auto" w:val="clear"/>
              </w:rPr>
              <w:t xml:space="preserve">90%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  <w:t xml:space="preserve"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72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　4</w:t>
            </w:r>
          </w:p>
        </w:tc>
      </w:tr>
      <w:tr>
        <w:trPr>
          <w:trHeight w:val="705" w:hRule="auto"/>
          <w:jc w:val="left"/>
        </w:trPr>
        <w:tc>
          <w:tcPr>
            <w:tcW w:w="1240" w:type="dxa"/>
            <w:vMerge w:val="restart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团队协作</w:t>
            </w:r>
          </w:p>
        </w:tc>
        <w:tc>
          <w:tcPr>
            <w:tcW w:w="75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  <w:t xml:space="preserve"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　9</w:t>
            </w:r>
          </w:p>
        </w:tc>
      </w:tr>
      <w:tr>
        <w:trPr>
          <w:trHeight w:val="480" w:hRule="auto"/>
          <w:jc w:val="left"/>
        </w:trPr>
        <w:tc>
          <w:tcPr>
            <w:tcW w:w="124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  <w:t xml:space="preserve">主动完成店长安排的来货上架，借货、送货等工作。</w:t>
            </w: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　10</w:t>
            </w:r>
          </w:p>
        </w:tc>
      </w:tr>
      <w:tr>
        <w:trPr>
          <w:trHeight w:val="720" w:hRule="auto"/>
          <w:jc w:val="left"/>
        </w:trPr>
        <w:tc>
          <w:tcPr>
            <w:tcW w:w="12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客户服务与满意度</w:t>
            </w:r>
          </w:p>
        </w:tc>
        <w:tc>
          <w:tcPr>
            <w:tcW w:w="759" w:type="dxa"/>
            <w:vMerge w:val="restart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20%</w:t>
            </w:r>
          </w:p>
        </w:tc>
        <w:tc>
          <w:tcPr>
            <w:tcW w:w="5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  <w:t xml:space="preserve"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cs="楷体_GB2312" w:eastAsia="楷体_GB2312"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  <w:t xml:space="preserve"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7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　5</w:t>
            </w:r>
          </w:p>
        </w:tc>
      </w:tr>
      <w:tr>
        <w:trPr>
          <w:trHeight w:val="720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全月无顾客投诉。如当月有顾客投诉，每投诉一次扣</w:t>
            </w:r>
            <w:r>
              <w:rPr>
                <w:rFonts w:ascii="仿宋_GB2312" w:hAnsi="仿宋_GB2312" w:cs="仿宋_GB2312" w:eastAsia="仿宋_GB2312"/>
                <w:color w:val="000000"/>
                <w:spacing w:val="0"/>
                <w:position w:val="0"/>
                <w:sz w:val="18"/>
                <w:shd w:fill="auto" w:val="clear"/>
              </w:rPr>
              <w:t xml:space="preserve">3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分，投诉满</w:t>
            </w:r>
            <w:r>
              <w:rPr>
                <w:rFonts w:ascii="仿宋_GB2312" w:hAnsi="仿宋_GB2312" w:cs="仿宋_GB2312" w:eastAsia="仿宋_GB2312"/>
                <w:color w:val="000000"/>
                <w:spacing w:val="0"/>
                <w:position w:val="0"/>
                <w:sz w:val="18"/>
                <w:shd w:fill="auto" w:val="clear"/>
              </w:rPr>
              <w:t xml:space="preserve">3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次，此项为</w:t>
            </w:r>
            <w:r>
              <w:rPr>
                <w:rFonts w:ascii="仿宋_GB2312" w:hAnsi="仿宋_GB2312" w:cs="仿宋_GB2312" w:eastAsia="仿宋_GB2312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分。如涉及经济损失的，根据损失金额大小承担相应赔偿责任。</w:t>
            </w: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7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　15</w:t>
            </w:r>
          </w:p>
        </w:tc>
      </w:tr>
      <w:tr>
        <w:trPr>
          <w:trHeight w:val="770" w:hRule="auto"/>
          <w:jc w:val="left"/>
        </w:trPr>
        <w:tc>
          <w:tcPr>
            <w:tcW w:w="1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出勤情况</w:t>
            </w:r>
          </w:p>
        </w:tc>
        <w:tc>
          <w:tcPr>
            <w:tcW w:w="75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10%</w:t>
            </w:r>
          </w:p>
        </w:tc>
        <w:tc>
          <w:tcPr>
            <w:tcW w:w="5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本月全勤满分（全勤以在岗为准）。正常请假，每少一天扣</w:t>
            </w:r>
            <w:r>
              <w:rPr>
                <w:rFonts w:ascii="仿宋_GB2312" w:hAnsi="仿宋_GB2312" w:cs="仿宋_GB2312" w:eastAsia="仿宋_GB2312"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分，三天及以上扣</w:t>
            </w:r>
            <w:r>
              <w:rPr>
                <w:rFonts w:ascii="仿宋_GB2312" w:hAnsi="仿宋_GB2312" w:cs="仿宋_GB2312" w:eastAsia="仿宋_GB2312"/>
                <w:color w:val="000000"/>
                <w:spacing w:val="0"/>
                <w:position w:val="0"/>
                <w:sz w:val="18"/>
                <w:shd w:fill="auto" w:val="clear"/>
              </w:rPr>
              <w:t xml:space="preserve">5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分。旷工一天</w:t>
            </w:r>
            <w:r>
              <w:rPr>
                <w:rFonts w:ascii="仿宋_GB2312" w:hAnsi="仿宋_GB2312" w:cs="仿宋_GB2312" w:eastAsia="仿宋_GB2312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分。</w:t>
            </w: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　10</w:t>
            </w:r>
          </w:p>
        </w:tc>
      </w:tr>
      <w:tr>
        <w:trPr>
          <w:trHeight w:val="460" w:hRule="auto"/>
          <w:jc w:val="left"/>
        </w:trPr>
        <w:tc>
          <w:tcPr>
            <w:tcW w:w="12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当月重点工作</w:t>
            </w:r>
          </w:p>
        </w:tc>
        <w:tc>
          <w:tcPr>
            <w:tcW w:w="759" w:type="dxa"/>
            <w:vMerge w:val="restart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50%</w:t>
            </w:r>
          </w:p>
        </w:tc>
        <w:tc>
          <w:tcPr>
            <w:tcW w:w="53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1、个人销售同比上月，下滑扣3分</w:t>
            </w: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</w:tr>
      <w:tr>
        <w:trPr>
          <w:trHeight w:val="467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2、个人毛利额同比上月，下滑扣3分</w:t>
            </w: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</w:tr>
      <w:tr>
        <w:trPr>
          <w:trHeight w:val="465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3、一单一品率同比上月，下滑一个百分比扣1分</w:t>
            </w: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</w:tr>
      <w:tr>
        <w:trPr>
          <w:trHeight w:val="480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4、客品数同比上月，下滑一个点扣1分</w:t>
            </w: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</w:tr>
      <w:tr>
        <w:trPr>
          <w:trHeight w:val="480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5、公司下发本月各种文件掌握情况，不熟悉的一项扣1分</w:t>
            </w: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7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</w:tr>
      <w:tr>
        <w:trPr>
          <w:trHeight w:val="492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2" w:hRule="auto"/>
          <w:jc w:val="left"/>
        </w:trPr>
        <w:tc>
          <w:tcPr>
            <w:tcW w:w="12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9" w:type="dxa"/>
            <w:vMerge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合计</w:t>
            </w:r>
          </w:p>
        </w:tc>
        <w:tc>
          <w:tcPr>
            <w:tcW w:w="7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93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考评人（店长）：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    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殷岱菊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                         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被考评人： 苏佳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说明：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、当月重点工作由片长制定；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     2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、本表由营运部于每月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27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日上交本月考核表到人事部；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     3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、本表由片长于每月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25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日下发次月考核内容；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