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提成标准：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集团公司品种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T类）</w:t>
      </w:r>
      <w:r>
        <w:rPr>
          <w:rFonts w:hint="eastAsia"/>
          <w:sz w:val="18"/>
          <w:szCs w:val="18"/>
        </w:rPr>
        <w:t>提成奖励系数或金额照执行标准不做调整。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T1：9%，T2：7%，T3:4%</w:t>
      </w:r>
      <w:r>
        <w:rPr>
          <w:rFonts w:hint="eastAsia"/>
          <w:sz w:val="18"/>
          <w:szCs w:val="18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中药品种提成系数按照配方饮片7%，其他品规5%。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大保健品品种提成比例</w:t>
      </w:r>
      <w:r>
        <w:rPr>
          <w:rFonts w:hint="eastAsia"/>
          <w:sz w:val="18"/>
          <w:szCs w:val="18"/>
          <w:lang w:val="en-US" w:eastAsia="zh-CN"/>
        </w:rPr>
        <w:t>7%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其他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品种均按实际毛利率设置提成比例，具体标准如下：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A、0＜毛利率≤10%，提成比例1.5%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B、10%＜毛利率≤30%，提成比例2.5%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C、30%＜毛利率≤50%，提成比例4%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D、毛利率＞50%，提成比例6%</w:t>
      </w:r>
    </w:p>
    <w:p>
      <w:pPr>
        <w:spacing w:line="360" w:lineRule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每个品种按照实际毛利率制定提成比例，新品种由商品部在系统内制定提成金额</w:t>
      </w:r>
    </w:p>
    <w:p>
      <w:pPr>
        <w:spacing w:line="360" w:lineRule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附表中营运部将公司所有品种均按近90天实际毛利率核算。在新价签更换前请各门店按附表进行标识：建议中药系列、金牌品种、单品奖励、大保健品均不予标注，采取自行记忆方式；其他按毛利区间提成的品种在价签上进行标识，毛利率0-10%用彩色笔标注一个点，10%-30%标注两个点，30%-50%标注三个点，50%以上标注四个点。</w:t>
      </w:r>
    </w:p>
    <w:p>
      <w:pPr>
        <w:spacing w:line="360" w:lineRule="auto"/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9053B"/>
    <w:rsid w:val="59085D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2016-04-08T09:45:30Z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