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1ABB" w:rsidRDefault="00891ABB" w:rsidP="00891ABB">
      <w:pPr>
        <w:jc w:val="center"/>
        <w:rPr>
          <w:rFonts w:hint="eastAsia"/>
          <w:b/>
          <w:sz w:val="32"/>
          <w:szCs w:val="32"/>
        </w:rPr>
      </w:pPr>
      <w:r w:rsidRPr="00891ABB">
        <w:rPr>
          <w:rFonts w:hint="eastAsia"/>
          <w:b/>
          <w:sz w:val="32"/>
          <w:szCs w:val="32"/>
        </w:rPr>
        <w:t>温江店增量措施</w:t>
      </w:r>
    </w:p>
    <w:p w:rsidR="00891ABB" w:rsidRPr="00891ABB" w:rsidRDefault="00891ABB" w:rsidP="00891AB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月销售数据分析：</w:t>
      </w:r>
      <w:r w:rsidR="00020F59">
        <w:rPr>
          <w:rFonts w:hint="eastAsia"/>
          <w:b/>
          <w:sz w:val="24"/>
          <w:szCs w:val="24"/>
        </w:rPr>
        <w:t>（</w:t>
      </w:r>
      <w:r w:rsidR="00020F59">
        <w:rPr>
          <w:rFonts w:hint="eastAsia"/>
          <w:b/>
          <w:sz w:val="24"/>
          <w:szCs w:val="24"/>
        </w:rPr>
        <w:t>1.1-1.25</w:t>
      </w:r>
      <w:r w:rsidR="00020F59">
        <w:rPr>
          <w:rFonts w:hint="eastAsia"/>
          <w:b/>
          <w:sz w:val="24"/>
          <w:szCs w:val="24"/>
        </w:rPr>
        <w:t>）</w:t>
      </w:r>
    </w:p>
    <w:tbl>
      <w:tblPr>
        <w:tblW w:w="6920" w:type="dxa"/>
        <w:tblInd w:w="93" w:type="dxa"/>
        <w:tblLook w:val="04A0"/>
      </w:tblPr>
      <w:tblGrid>
        <w:gridCol w:w="880"/>
        <w:gridCol w:w="978"/>
        <w:gridCol w:w="702"/>
        <w:gridCol w:w="960"/>
        <w:gridCol w:w="1300"/>
        <w:gridCol w:w="1200"/>
        <w:gridCol w:w="900"/>
      </w:tblGrid>
      <w:tr w:rsidR="00755DF1" w:rsidRPr="00755DF1" w:rsidTr="00DE285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门店名称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销售笔数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平均客单价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收入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毛利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55DF1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毛利率</w:t>
            </w:r>
          </w:p>
        </w:tc>
      </w:tr>
      <w:tr w:rsidR="00755DF1" w:rsidRPr="00755DF1" w:rsidTr="00DE285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2015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温江店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67.44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115921.45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40259.19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34.72%</w:t>
            </w:r>
          </w:p>
        </w:tc>
      </w:tr>
      <w:tr w:rsidR="00755DF1" w:rsidRPr="00755DF1" w:rsidTr="00DE285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温江店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74.87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148692.7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44005.05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29.59%</w:t>
            </w:r>
          </w:p>
        </w:tc>
      </w:tr>
      <w:tr w:rsidR="00755DF1" w:rsidRPr="00755DF1" w:rsidTr="00DE285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755DF1">
              <w:rPr>
                <w:rFonts w:ascii="宋体" w:eastAsia="宋体" w:hAnsi="宋体" w:cs="Arial" w:hint="eastAsia"/>
                <w:kern w:val="0"/>
                <w:sz w:val="22"/>
              </w:rPr>
              <w:t>增减额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>-267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>-7.43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>-32771.25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>-3745.86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DF1" w:rsidRPr="00755DF1" w:rsidRDefault="00755DF1" w:rsidP="00755D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55DF1">
              <w:rPr>
                <w:rFonts w:ascii="Arial" w:eastAsia="宋体" w:hAnsi="Arial" w:cs="Arial"/>
                <w:kern w:val="0"/>
                <w:sz w:val="20"/>
                <w:szCs w:val="20"/>
              </w:rPr>
              <w:t>5.13%</w:t>
            </w:r>
          </w:p>
        </w:tc>
      </w:tr>
    </w:tbl>
    <w:p w:rsidR="00153C1D" w:rsidRDefault="00153C1D" w:rsidP="003E4220">
      <w:pPr>
        <w:ind w:left="840" w:hangingChars="400" w:hanging="840"/>
        <w:rPr>
          <w:rFonts w:hint="eastAsia"/>
        </w:rPr>
      </w:pPr>
      <w:r>
        <w:rPr>
          <w:rFonts w:hint="eastAsia"/>
        </w:rPr>
        <w:t>大类分析：</w:t>
      </w:r>
    </w:p>
    <w:tbl>
      <w:tblPr>
        <w:tblW w:w="3720" w:type="dxa"/>
        <w:tblInd w:w="93" w:type="dxa"/>
        <w:tblLook w:val="04A0"/>
      </w:tblPr>
      <w:tblGrid>
        <w:gridCol w:w="1149"/>
        <w:gridCol w:w="1151"/>
        <w:gridCol w:w="1420"/>
      </w:tblGrid>
      <w:tr w:rsidR="00153C1D" w:rsidRPr="00153C1D" w:rsidTr="00153C1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153C1D" w:rsidRPr="00153C1D" w:rsidTr="00153C1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79618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100904</w:t>
            </w:r>
          </w:p>
        </w:tc>
      </w:tr>
      <w:tr w:rsidR="00153C1D" w:rsidRPr="00153C1D" w:rsidTr="00153C1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18631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26574</w:t>
            </w:r>
          </w:p>
        </w:tc>
      </w:tr>
      <w:tr w:rsidR="00153C1D" w:rsidRPr="00153C1D" w:rsidTr="00153C1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器械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7343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6302</w:t>
            </w:r>
          </w:p>
        </w:tc>
      </w:tr>
      <w:tr w:rsidR="00153C1D" w:rsidRPr="00153C1D" w:rsidTr="00153C1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C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6420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C1D">
              <w:rPr>
                <w:rFonts w:ascii="Arial" w:eastAsia="宋体" w:hAnsi="Arial" w:cs="Arial"/>
                <w:kern w:val="0"/>
                <w:sz w:val="20"/>
                <w:szCs w:val="20"/>
              </w:rPr>
              <w:t>11241</w:t>
            </w:r>
          </w:p>
        </w:tc>
      </w:tr>
    </w:tbl>
    <w:p w:rsidR="00FE41A7" w:rsidRPr="009A36C7" w:rsidRDefault="00FE41A7" w:rsidP="00FE41A7">
      <w:pPr>
        <w:rPr>
          <w:rFonts w:hint="eastAsia"/>
          <w:sz w:val="24"/>
          <w:szCs w:val="24"/>
        </w:rPr>
      </w:pPr>
      <w:r w:rsidRPr="009A36C7">
        <w:rPr>
          <w:rFonts w:hint="eastAsia"/>
          <w:sz w:val="24"/>
          <w:szCs w:val="24"/>
        </w:rPr>
        <w:t>从数据来看：客流下滑</w:t>
      </w:r>
      <w:r w:rsidRPr="009A36C7">
        <w:rPr>
          <w:rFonts w:hint="eastAsia"/>
          <w:sz w:val="24"/>
          <w:szCs w:val="24"/>
        </w:rPr>
        <w:t>267</w:t>
      </w:r>
      <w:r w:rsidRPr="009A36C7">
        <w:rPr>
          <w:rFonts w:hint="eastAsia"/>
          <w:sz w:val="24"/>
          <w:szCs w:val="24"/>
        </w:rPr>
        <w:t>笔，客单价下滑</w:t>
      </w:r>
      <w:r w:rsidRPr="009A36C7">
        <w:rPr>
          <w:rFonts w:hint="eastAsia"/>
          <w:sz w:val="24"/>
          <w:szCs w:val="24"/>
        </w:rPr>
        <w:t>7.43</w:t>
      </w:r>
      <w:r w:rsidRPr="009A36C7">
        <w:rPr>
          <w:rFonts w:hint="eastAsia"/>
          <w:sz w:val="24"/>
          <w:szCs w:val="24"/>
        </w:rPr>
        <w:t>元。</w:t>
      </w:r>
      <w:r w:rsidRPr="009A36C7">
        <w:rPr>
          <w:rFonts w:hint="eastAsia"/>
          <w:sz w:val="24"/>
          <w:szCs w:val="24"/>
        </w:rPr>
        <w:t xml:space="preserve">  </w:t>
      </w:r>
    </w:p>
    <w:p w:rsidR="00FE41A7" w:rsidRPr="009A36C7" w:rsidRDefault="00FE41A7" w:rsidP="00FE41A7">
      <w:pPr>
        <w:rPr>
          <w:rFonts w:hint="eastAsia"/>
          <w:sz w:val="24"/>
          <w:szCs w:val="24"/>
        </w:rPr>
      </w:pPr>
      <w:r w:rsidRPr="009A36C7">
        <w:rPr>
          <w:rFonts w:hint="eastAsia"/>
          <w:sz w:val="24"/>
          <w:szCs w:val="24"/>
        </w:rPr>
        <w:t>措施：</w:t>
      </w:r>
      <w:r w:rsidRPr="009A36C7">
        <w:rPr>
          <w:rFonts w:hint="eastAsia"/>
          <w:sz w:val="24"/>
          <w:szCs w:val="24"/>
        </w:rPr>
        <w:t>A</w:t>
      </w:r>
      <w:r w:rsidRPr="009A36C7">
        <w:rPr>
          <w:rFonts w:hint="eastAsia"/>
          <w:sz w:val="24"/>
          <w:szCs w:val="24"/>
        </w:rPr>
        <w:t>抓紧新品的学习，每天学习</w:t>
      </w:r>
      <w:r w:rsidRPr="009A36C7">
        <w:rPr>
          <w:rFonts w:hint="eastAsia"/>
          <w:sz w:val="24"/>
          <w:szCs w:val="24"/>
        </w:rPr>
        <w:t>3</w:t>
      </w:r>
      <w:r w:rsidRPr="009A36C7">
        <w:rPr>
          <w:rFonts w:hint="eastAsia"/>
          <w:sz w:val="24"/>
          <w:szCs w:val="24"/>
        </w:rPr>
        <w:t>个品种于交班本上，具体由早班人员负责</w:t>
      </w:r>
    </w:p>
    <w:p w:rsidR="00FE41A7" w:rsidRPr="009A36C7" w:rsidRDefault="00FE41A7" w:rsidP="00FE41A7">
      <w:pPr>
        <w:rPr>
          <w:rFonts w:hint="eastAsia"/>
          <w:sz w:val="24"/>
          <w:szCs w:val="24"/>
        </w:rPr>
      </w:pPr>
      <w:r w:rsidRPr="009A36C7">
        <w:rPr>
          <w:rFonts w:hint="eastAsia"/>
          <w:sz w:val="24"/>
          <w:szCs w:val="24"/>
        </w:rPr>
        <w:t xml:space="preserve">      B</w:t>
      </w:r>
      <w:r w:rsidRPr="009A36C7">
        <w:rPr>
          <w:rFonts w:hint="eastAsia"/>
          <w:sz w:val="24"/>
          <w:szCs w:val="24"/>
        </w:rPr>
        <w:t>做好每天的缺货登记，及时反馈顾客需求的品种，</w:t>
      </w:r>
      <w:proofErr w:type="gramStart"/>
      <w:r w:rsidRPr="009A36C7">
        <w:rPr>
          <w:rFonts w:hint="eastAsia"/>
          <w:sz w:val="24"/>
          <w:szCs w:val="24"/>
        </w:rPr>
        <w:t>请货或</w:t>
      </w:r>
      <w:proofErr w:type="gramEnd"/>
      <w:r w:rsidRPr="009A36C7">
        <w:rPr>
          <w:rFonts w:hint="eastAsia"/>
          <w:sz w:val="24"/>
          <w:szCs w:val="24"/>
        </w:rPr>
        <w:t>调拨。</w:t>
      </w:r>
    </w:p>
    <w:p w:rsidR="00FE41A7" w:rsidRPr="009A36C7" w:rsidRDefault="00FE41A7" w:rsidP="009A36C7">
      <w:pPr>
        <w:ind w:left="960" w:hangingChars="400" w:hanging="960"/>
        <w:rPr>
          <w:rFonts w:hint="eastAsia"/>
          <w:sz w:val="24"/>
          <w:szCs w:val="24"/>
        </w:rPr>
      </w:pPr>
      <w:r w:rsidRPr="009A36C7">
        <w:rPr>
          <w:rFonts w:hint="eastAsia"/>
          <w:sz w:val="24"/>
          <w:szCs w:val="24"/>
        </w:rPr>
        <w:t xml:space="preserve">      C</w:t>
      </w:r>
      <w:r w:rsidRPr="009A36C7">
        <w:rPr>
          <w:rFonts w:hint="eastAsia"/>
          <w:sz w:val="24"/>
          <w:szCs w:val="24"/>
        </w:rPr>
        <w:t>保健品销售处于下滑，主要是维生素和心脑血管方面，通过各种营养搭配，组合销售增加销量。</w:t>
      </w:r>
      <w:r w:rsidR="009A36C7">
        <w:rPr>
          <w:rFonts w:hint="eastAsia"/>
          <w:sz w:val="24"/>
          <w:szCs w:val="24"/>
        </w:rPr>
        <w:t>一句话提醒顾客我们某某品种做活动。</w:t>
      </w:r>
    </w:p>
    <w:p w:rsidR="00FE41A7" w:rsidRPr="009A36C7" w:rsidRDefault="00FE41A7" w:rsidP="009A36C7">
      <w:pPr>
        <w:ind w:left="960" w:hangingChars="400" w:hanging="960"/>
        <w:rPr>
          <w:rFonts w:hint="eastAsia"/>
          <w:sz w:val="24"/>
          <w:szCs w:val="24"/>
        </w:rPr>
      </w:pPr>
      <w:r w:rsidRPr="009A36C7">
        <w:rPr>
          <w:rFonts w:hint="eastAsia"/>
          <w:sz w:val="24"/>
          <w:szCs w:val="24"/>
        </w:rPr>
        <w:t xml:space="preserve">      D</w:t>
      </w:r>
      <w:r w:rsidRPr="009A36C7">
        <w:rPr>
          <w:rFonts w:hint="eastAsia"/>
          <w:sz w:val="24"/>
          <w:szCs w:val="24"/>
        </w:rPr>
        <w:t>周边商铺均为孕婴店，儿童较多。补齐儿科类和妇科类品</w:t>
      </w:r>
      <w:proofErr w:type="gramStart"/>
      <w:r w:rsidRPr="009A36C7">
        <w:rPr>
          <w:rFonts w:hint="eastAsia"/>
          <w:sz w:val="24"/>
          <w:szCs w:val="24"/>
        </w:rPr>
        <w:t>规</w:t>
      </w:r>
      <w:proofErr w:type="gramEnd"/>
      <w:r w:rsidRPr="009A36C7">
        <w:rPr>
          <w:rFonts w:hint="eastAsia"/>
          <w:sz w:val="24"/>
          <w:szCs w:val="24"/>
        </w:rPr>
        <w:t>，尤其是医院品种。</w:t>
      </w:r>
    </w:p>
    <w:p w:rsidR="00153C1D" w:rsidRPr="009A36C7" w:rsidRDefault="00FD0ED8" w:rsidP="009A36C7">
      <w:pPr>
        <w:ind w:leftChars="357" w:left="750"/>
        <w:rPr>
          <w:rFonts w:hint="eastAsia"/>
          <w:sz w:val="24"/>
          <w:szCs w:val="24"/>
        </w:rPr>
      </w:pPr>
      <w:r w:rsidRPr="009A36C7">
        <w:rPr>
          <w:rFonts w:hint="eastAsia"/>
          <w:sz w:val="24"/>
          <w:szCs w:val="24"/>
        </w:rPr>
        <w:t>E</w:t>
      </w:r>
      <w:r w:rsidRPr="009A36C7">
        <w:rPr>
          <w:rFonts w:hint="eastAsia"/>
          <w:sz w:val="24"/>
          <w:szCs w:val="24"/>
        </w:rPr>
        <w:t>门店的中药专员负责品种的补足调货和门店自行中药袋装促</w:t>
      </w:r>
      <w:r w:rsidR="009A36C7">
        <w:rPr>
          <w:rFonts w:hint="eastAsia"/>
          <w:sz w:val="24"/>
          <w:szCs w:val="24"/>
        </w:rPr>
        <w:t>销活动的制定，每个月有关于中药的小型促销活动，以此来保障</w:t>
      </w:r>
      <w:r w:rsidRPr="009A36C7">
        <w:rPr>
          <w:rFonts w:hint="eastAsia"/>
          <w:sz w:val="24"/>
          <w:szCs w:val="24"/>
        </w:rPr>
        <w:t>中药上量。</w:t>
      </w:r>
    </w:p>
    <w:p w:rsidR="00494986" w:rsidRDefault="00494986">
      <w:pPr>
        <w:rPr>
          <w:rFonts w:hint="eastAsia"/>
        </w:rPr>
      </w:pPr>
    </w:p>
    <w:p w:rsidR="00494986" w:rsidRDefault="00494986">
      <w:pPr>
        <w:rPr>
          <w:rFonts w:hint="eastAsia"/>
        </w:rPr>
      </w:pPr>
    </w:p>
    <w:p w:rsidR="00494986" w:rsidRDefault="00AB68D0">
      <w:pPr>
        <w:rPr>
          <w:rFonts w:hint="eastAsia"/>
        </w:rPr>
      </w:pPr>
      <w:r>
        <w:rPr>
          <w:rFonts w:hint="eastAsia"/>
        </w:rPr>
        <w:t>会员分析：</w:t>
      </w:r>
    </w:p>
    <w:tbl>
      <w:tblPr>
        <w:tblW w:w="8520" w:type="dxa"/>
        <w:tblInd w:w="93" w:type="dxa"/>
        <w:tblLook w:val="04A0"/>
      </w:tblPr>
      <w:tblGrid>
        <w:gridCol w:w="816"/>
        <w:gridCol w:w="627"/>
        <w:gridCol w:w="687"/>
        <w:gridCol w:w="859"/>
        <w:gridCol w:w="1055"/>
        <w:gridCol w:w="1015"/>
        <w:gridCol w:w="816"/>
        <w:gridCol w:w="916"/>
        <w:gridCol w:w="887"/>
        <w:gridCol w:w="888"/>
      </w:tblGrid>
      <w:tr w:rsidR="00AA2A9E" w:rsidRPr="00DE285D" w:rsidTr="00AA2A9E">
        <w:trPr>
          <w:trHeight w:val="37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总笔数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会员消费笔数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会员消费笔数占比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总销售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会员消费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会员消费占比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总毛利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会员消费毛利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会员毛利占比</w:t>
            </w:r>
          </w:p>
        </w:tc>
      </w:tr>
      <w:tr w:rsidR="00AA2A9E" w:rsidRPr="00DE285D" w:rsidTr="00AA2A9E">
        <w:trPr>
          <w:trHeight w:val="3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2015.1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27.57%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115921.5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44827.7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38.67%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40259.2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30.81%</w:t>
            </w:r>
          </w:p>
        </w:tc>
      </w:tr>
      <w:tr w:rsidR="00AA2A9E" w:rsidRPr="00DE285D" w:rsidTr="00AA2A9E">
        <w:trPr>
          <w:trHeight w:val="3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2014.1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34.59%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148692.7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77865.8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52.37%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44005.1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49.21%</w:t>
            </w:r>
          </w:p>
        </w:tc>
      </w:tr>
      <w:tr w:rsidR="00AA2A9E" w:rsidRPr="00DE285D" w:rsidTr="00AA2A9E">
        <w:trPr>
          <w:trHeight w:val="3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-267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-213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AA2A9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</w:t>
            </w:r>
            <w:r w:rsidR="00AA2A9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-32771.3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-33038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-0.137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-3745.9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DE285D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285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-9253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5D" w:rsidRPr="00DE285D" w:rsidRDefault="00AA2A9E" w:rsidP="00DE285D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-18.4%</w:t>
            </w:r>
          </w:p>
        </w:tc>
      </w:tr>
    </w:tbl>
    <w:p w:rsidR="00494986" w:rsidRPr="00E355D8" w:rsidRDefault="00591083">
      <w:pPr>
        <w:rPr>
          <w:rFonts w:hint="eastAsia"/>
          <w:sz w:val="24"/>
          <w:szCs w:val="24"/>
        </w:rPr>
      </w:pPr>
      <w:r w:rsidRPr="00E355D8">
        <w:rPr>
          <w:rFonts w:hint="eastAsia"/>
          <w:sz w:val="24"/>
          <w:szCs w:val="24"/>
        </w:rPr>
        <w:t>从数据来看：会员笔数占比下降</w:t>
      </w:r>
      <w:r w:rsidRPr="00E355D8">
        <w:rPr>
          <w:rFonts w:hint="eastAsia"/>
          <w:sz w:val="24"/>
          <w:szCs w:val="24"/>
        </w:rPr>
        <w:t>7%</w:t>
      </w:r>
      <w:r w:rsidRPr="00E355D8">
        <w:rPr>
          <w:rFonts w:hint="eastAsia"/>
          <w:sz w:val="24"/>
          <w:szCs w:val="24"/>
        </w:rPr>
        <w:t>，力争会员笔数占比达到</w:t>
      </w:r>
      <w:r w:rsidRPr="00E355D8">
        <w:rPr>
          <w:rFonts w:hint="eastAsia"/>
          <w:sz w:val="24"/>
          <w:szCs w:val="24"/>
        </w:rPr>
        <w:t>35%</w:t>
      </w:r>
      <w:r w:rsidRPr="00E355D8">
        <w:rPr>
          <w:rFonts w:hint="eastAsia"/>
          <w:sz w:val="24"/>
          <w:szCs w:val="24"/>
        </w:rPr>
        <w:t>。</w:t>
      </w:r>
    </w:p>
    <w:p w:rsidR="00591083" w:rsidRPr="00E355D8" w:rsidRDefault="00591083">
      <w:pPr>
        <w:rPr>
          <w:rFonts w:hint="eastAsia"/>
          <w:sz w:val="24"/>
          <w:szCs w:val="24"/>
        </w:rPr>
      </w:pPr>
      <w:r w:rsidRPr="00E355D8">
        <w:rPr>
          <w:rFonts w:hint="eastAsia"/>
          <w:sz w:val="24"/>
          <w:szCs w:val="24"/>
        </w:rPr>
        <w:t>措施：</w:t>
      </w:r>
      <w:r w:rsidRPr="00E355D8">
        <w:rPr>
          <w:rFonts w:hint="eastAsia"/>
          <w:sz w:val="24"/>
          <w:szCs w:val="24"/>
        </w:rPr>
        <w:t>A</w:t>
      </w:r>
      <w:r w:rsidRPr="00E355D8">
        <w:rPr>
          <w:rFonts w:hint="eastAsia"/>
          <w:sz w:val="24"/>
          <w:szCs w:val="24"/>
        </w:rPr>
        <w:t>积极发展新会员，</w:t>
      </w:r>
      <w:r w:rsidR="00E355D8" w:rsidRPr="00E355D8">
        <w:rPr>
          <w:rFonts w:hint="eastAsia"/>
          <w:sz w:val="24"/>
          <w:szCs w:val="24"/>
        </w:rPr>
        <w:t>任务</w:t>
      </w:r>
      <w:r w:rsidRPr="00E355D8">
        <w:rPr>
          <w:rFonts w:hint="eastAsia"/>
          <w:sz w:val="24"/>
          <w:szCs w:val="24"/>
        </w:rPr>
        <w:t>每班每人发展会员</w:t>
      </w:r>
      <w:r w:rsidRPr="00E355D8">
        <w:rPr>
          <w:rFonts w:hint="eastAsia"/>
          <w:sz w:val="24"/>
          <w:szCs w:val="24"/>
        </w:rPr>
        <w:t>2</w:t>
      </w:r>
      <w:r w:rsidRPr="00E355D8">
        <w:rPr>
          <w:rFonts w:hint="eastAsia"/>
          <w:sz w:val="24"/>
          <w:szCs w:val="24"/>
        </w:rPr>
        <w:t>个</w:t>
      </w:r>
      <w:r w:rsidR="00E355D8" w:rsidRPr="00E355D8">
        <w:rPr>
          <w:rFonts w:hint="eastAsia"/>
          <w:sz w:val="24"/>
          <w:szCs w:val="24"/>
        </w:rPr>
        <w:t>，</w:t>
      </w:r>
      <w:r w:rsidR="00E355D8">
        <w:rPr>
          <w:rFonts w:hint="eastAsia"/>
          <w:sz w:val="24"/>
          <w:szCs w:val="24"/>
        </w:rPr>
        <w:t>新办</w:t>
      </w:r>
      <w:r w:rsidR="00E355D8" w:rsidRPr="00E355D8">
        <w:rPr>
          <w:rFonts w:hint="eastAsia"/>
          <w:sz w:val="24"/>
          <w:szCs w:val="24"/>
        </w:rPr>
        <w:t>会员卡马上使用</w:t>
      </w:r>
      <w:r w:rsidR="00E355D8">
        <w:rPr>
          <w:rFonts w:hint="eastAsia"/>
          <w:sz w:val="24"/>
          <w:szCs w:val="24"/>
        </w:rPr>
        <w:t>。</w:t>
      </w:r>
    </w:p>
    <w:p w:rsidR="00E355D8" w:rsidRDefault="00E355D8">
      <w:pPr>
        <w:rPr>
          <w:rFonts w:hint="eastAsia"/>
          <w:sz w:val="24"/>
          <w:szCs w:val="24"/>
        </w:rPr>
      </w:pPr>
      <w:r w:rsidRPr="00E355D8"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利用好我们的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个会员特价品种，积极宣传，再配以我们的高毛利品种联合销售。</w:t>
      </w:r>
    </w:p>
    <w:p w:rsidR="00E355D8" w:rsidRDefault="00E355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收银一句话维护老会员，主动提示顾客使用积分，杜绝出现推脱给顾客使用积分的情况。</w:t>
      </w:r>
    </w:p>
    <w:p w:rsidR="004A5076" w:rsidRDefault="004A5076">
      <w:pPr>
        <w:rPr>
          <w:rFonts w:hint="eastAsia"/>
          <w:sz w:val="24"/>
          <w:szCs w:val="24"/>
        </w:rPr>
      </w:pPr>
    </w:p>
    <w:p w:rsidR="004A5076" w:rsidRDefault="004A5076" w:rsidP="004A507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温江店</w:t>
      </w:r>
      <w:proofErr w:type="gramStart"/>
      <w:r>
        <w:rPr>
          <w:rFonts w:hint="eastAsia"/>
          <w:sz w:val="24"/>
          <w:szCs w:val="24"/>
        </w:rPr>
        <w:t>—喻茂连</w:t>
      </w:r>
      <w:proofErr w:type="gramEnd"/>
    </w:p>
    <w:p w:rsidR="004A5076" w:rsidRDefault="004A5076" w:rsidP="004A5076">
      <w:pPr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2015-02-02</w:t>
      </w:r>
    </w:p>
    <w:p w:rsidR="00E355D8" w:rsidRPr="00E355D8" w:rsidRDefault="00E355D8" w:rsidP="004A50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</w:p>
    <w:sectPr w:rsidR="00E355D8" w:rsidRPr="00E3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DF1"/>
    <w:rsid w:val="00020F59"/>
    <w:rsid w:val="00153C1D"/>
    <w:rsid w:val="00257098"/>
    <w:rsid w:val="003E4220"/>
    <w:rsid w:val="004776A1"/>
    <w:rsid w:val="00494986"/>
    <w:rsid w:val="004A5076"/>
    <w:rsid w:val="004B60BC"/>
    <w:rsid w:val="00591083"/>
    <w:rsid w:val="00673504"/>
    <w:rsid w:val="00687FD6"/>
    <w:rsid w:val="00755DF1"/>
    <w:rsid w:val="00891ABB"/>
    <w:rsid w:val="00920E7F"/>
    <w:rsid w:val="009A36C7"/>
    <w:rsid w:val="00A57A5C"/>
    <w:rsid w:val="00AA2A9E"/>
    <w:rsid w:val="00AB68D0"/>
    <w:rsid w:val="00B1101F"/>
    <w:rsid w:val="00D50E9E"/>
    <w:rsid w:val="00DE285D"/>
    <w:rsid w:val="00E355D8"/>
    <w:rsid w:val="00F74A53"/>
    <w:rsid w:val="00FD0ED8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149</Words>
  <Characters>853</Characters>
  <Application>Microsoft Office Word</Application>
  <DocSecurity>0</DocSecurity>
  <Lines>7</Lines>
  <Paragraphs>1</Paragraphs>
  <ScaleCrop>false</ScaleCrop>
  <Company>太极集团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2015-02-02T08:33:00Z</dcterms:created>
  <dcterms:modified xsi:type="dcterms:W3CDTF">2015-02-02T11:59:00Z</dcterms:modified>
</cp:coreProperties>
</file>