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5"/>
        <w:spacing w:before="0" w:after="0"/>
        <w:rPr>
          <w:sz w:val="24"/>
          <w:szCs w:val="24"/>
        </w:rPr>
      </w:pPr>
      <w:bookmarkStart w:id="9" w:name="_GoBack"/>
      <w:bookmarkEnd w:id="9"/>
      <w:r>
        <w:rPr>
          <w:rFonts w:hint="eastAsia" w:eastAsia="黑体"/>
        </w:rPr>
        <w:t>2014年度平安直通西区药品采购项目合同</w:t>
      </w:r>
    </w:p>
    <w:p>
      <w:pPr>
        <w:spacing w:line="312" w:lineRule="auto"/>
        <w:jc w:val="left"/>
        <w:rPr>
          <w:rFonts w:ascii="Arial" w:hAnsi="Arial" w:cs="Arial"/>
          <w:b/>
          <w:sz w:val="22"/>
        </w:rPr>
      </w:pPr>
      <w:r>
        <w:rPr>
          <w:rFonts w:ascii="Arial" w:cs="Arial"/>
          <w:b/>
          <w:sz w:val="22"/>
        </w:rPr>
        <w:t>甲方：</w:t>
      </w:r>
      <w:r>
        <w:rPr>
          <w:rFonts w:hint="eastAsia" w:ascii="Arial" w:cs="Arial"/>
          <w:b/>
          <w:sz w:val="22"/>
        </w:rPr>
        <w:t>中国平安财产保险股份有限公司（</w:t>
      </w:r>
      <w:r>
        <w:rPr>
          <w:rFonts w:ascii="Arial" w:cs="Arial"/>
          <w:b/>
          <w:sz w:val="22"/>
        </w:rPr>
        <w:t>订购方）</w:t>
      </w:r>
      <w:r>
        <w:rPr>
          <w:rFonts w:ascii="Arial" w:hAnsi="Arial" w:cs="Arial"/>
          <w:b/>
          <w:sz w:val="22"/>
        </w:rPr>
        <w:t xml:space="preserve">  </w:t>
      </w:r>
    </w:p>
    <w:p>
      <w:pPr>
        <w:spacing w:line="312" w:lineRule="auto"/>
        <w:jc w:val="left"/>
        <w:rPr>
          <w:rFonts w:ascii="Arial" w:cs="Arial"/>
          <w:b/>
          <w:sz w:val="22"/>
        </w:rPr>
      </w:pPr>
      <w:r>
        <w:rPr>
          <w:rFonts w:ascii="Arial" w:cs="Arial"/>
          <w:b/>
          <w:sz w:val="22"/>
        </w:rPr>
        <w:t>乙方：</w:t>
      </w:r>
      <w:r>
        <w:rPr>
          <w:rFonts w:hint="eastAsia" w:ascii="Arial" w:cs="Arial"/>
          <w:b/>
          <w:sz w:val="22"/>
        </w:rPr>
        <w:t>四川太极大药房连锁有限公司</w:t>
      </w:r>
      <w:r>
        <w:rPr>
          <w:rFonts w:ascii="Arial" w:cs="Arial"/>
          <w:b/>
          <w:sz w:val="22"/>
        </w:rPr>
        <w:t>（销售方</w:t>
      </w:r>
      <w:r>
        <w:rPr>
          <w:rFonts w:hint="eastAsia" w:ascii="Arial" w:cs="Arial"/>
          <w:b/>
          <w:sz w:val="22"/>
        </w:rPr>
        <w:t>）</w:t>
      </w:r>
    </w:p>
    <w:p>
      <w:pPr>
        <w:spacing w:line="312" w:lineRule="auto"/>
        <w:jc w:val="left"/>
        <w:rPr>
          <w:rFonts w:ascii="Arial" w:hAnsi="Arial" w:cs="Arial"/>
          <w:b/>
          <w:sz w:val="22"/>
        </w:rPr>
      </w:pPr>
      <w:r>
        <w:rPr>
          <w:rFonts w:ascii="Arial" w:cs="Arial"/>
          <w:sz w:val="22"/>
        </w:rPr>
        <w:t>就</w:t>
      </w:r>
      <w:r>
        <w:rPr>
          <w:rFonts w:hint="eastAsia" w:ascii="Arial" w:cs="Arial"/>
          <w:sz w:val="22"/>
        </w:rPr>
        <w:t>乙方向甲方销售相关商品</w:t>
      </w:r>
      <w:r>
        <w:rPr>
          <w:rFonts w:ascii="Arial" w:cs="Arial"/>
          <w:sz w:val="22"/>
        </w:rPr>
        <w:t>事宜</w:t>
      </w:r>
      <w:r>
        <w:rPr>
          <w:rFonts w:ascii="Arial" w:hAnsi="宋体" w:cs="Arial"/>
          <w:sz w:val="22"/>
        </w:rPr>
        <w:t>经双方友好协商，</w:t>
      </w:r>
      <w:permStart w:id="0" w:edGrp="everyone"/>
      <w:r>
        <w:rPr>
          <w:rFonts w:hint="eastAsia" w:ascii="Arial" w:hAnsi="Arial" w:cs="Arial"/>
          <w:sz w:val="22"/>
          <w:u w:val="single"/>
        </w:rPr>
        <w:t>2014</w:t>
      </w:r>
      <w:permEnd w:id="0"/>
      <w:r>
        <w:rPr>
          <w:rFonts w:ascii="Arial" w:hAnsi="宋体" w:cs="Arial"/>
          <w:sz w:val="22"/>
        </w:rPr>
        <w:t>年</w:t>
      </w:r>
      <w:permStart w:id="1" w:edGrp="everyone"/>
      <w:r>
        <w:rPr>
          <w:rFonts w:hint="eastAsia" w:ascii="Arial" w:hAnsi="Arial" w:cs="Arial"/>
          <w:sz w:val="22"/>
          <w:u w:val="single"/>
        </w:rPr>
        <w:t xml:space="preserve"> 8</w:t>
      </w:r>
      <w:permEnd w:id="1"/>
      <w:r>
        <w:rPr>
          <w:rFonts w:ascii="Arial" w:hAnsi="宋体" w:cs="Arial"/>
          <w:sz w:val="22"/>
        </w:rPr>
        <w:t>月</w:t>
      </w:r>
      <w:permStart w:id="2" w:edGrp="everyone"/>
      <w:r>
        <w:rPr>
          <w:rFonts w:hint="eastAsia" w:ascii="Arial" w:hAnsi="Arial" w:cs="Arial"/>
          <w:sz w:val="22"/>
          <w:u w:val="single"/>
        </w:rPr>
        <w:t xml:space="preserve">25 </w:t>
      </w:r>
      <w:permEnd w:id="2"/>
      <w:r>
        <w:rPr>
          <w:rFonts w:ascii="Arial" w:hAnsi="宋体" w:cs="Arial"/>
          <w:sz w:val="22"/>
        </w:rPr>
        <w:t>日在</w:t>
      </w:r>
      <w:r>
        <w:rPr>
          <w:rFonts w:hint="eastAsia" w:ascii="Arial" w:hAnsi="宋体" w:cs="Arial"/>
          <w:sz w:val="22"/>
        </w:rPr>
        <w:t>成都</w:t>
      </w:r>
      <w:r>
        <w:rPr>
          <w:rFonts w:ascii="Arial" w:hAnsi="宋体" w:cs="Arial"/>
          <w:sz w:val="22"/>
        </w:rPr>
        <w:t>共同签订本合同。</w:t>
      </w:r>
    </w:p>
    <w:p>
      <w:pPr>
        <w:numPr>
          <w:ilvl w:val="0"/>
          <w:numId w:val="2"/>
        </w:numPr>
        <w:tabs>
          <w:tab w:val="left" w:pos="840"/>
          <w:tab w:val="clear" w:pos="1680"/>
        </w:tabs>
        <w:spacing w:beforeLines="30"/>
        <w:ind w:left="1678" w:hanging="1678"/>
        <w:jc w:val="left"/>
        <w:outlineLvl w:val="0"/>
        <w:rPr>
          <w:rFonts w:ascii="Arial" w:hAnsi="Arial" w:cs="Arial"/>
          <w:sz w:val="22"/>
        </w:rPr>
      </w:pPr>
      <w:r>
        <w:rPr>
          <w:rFonts w:hint="eastAsia" w:ascii="Arial" w:cs="Arial"/>
          <w:b/>
          <w:sz w:val="22"/>
        </w:rPr>
        <w:t>商品目录</w:t>
      </w:r>
    </w:p>
    <w:p>
      <w:pPr>
        <w:numPr>
          <w:ilvl w:val="1"/>
          <w:numId w:val="2"/>
        </w:numPr>
        <w:tabs>
          <w:tab w:val="left" w:pos="360"/>
        </w:tabs>
        <w:spacing w:beforeLines="10"/>
        <w:ind w:left="357" w:hanging="357"/>
        <w:jc w:val="left"/>
        <w:rPr>
          <w:szCs w:val="24"/>
        </w:rPr>
      </w:pPr>
      <w:r>
        <w:rPr>
          <w:rFonts w:ascii="Arial" w:cs="Arial"/>
          <w:sz w:val="22"/>
        </w:rPr>
        <w:t>合同产品</w:t>
      </w:r>
      <w:r>
        <w:rPr>
          <w:rFonts w:hint="eastAsia" w:ascii="Arial" w:cs="Arial"/>
          <w:sz w:val="22"/>
        </w:rPr>
        <w:t>清单如下：</w:t>
      </w:r>
    </w:p>
    <w:tbl>
      <w:tblPr>
        <w:tblW w:w="8090" w:type="dxa"/>
        <w:jc w:val="center"/>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624"/>
        <w:gridCol w:w="1863"/>
        <w:gridCol w:w="2519"/>
        <w:gridCol w:w="1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39" w:hRule="atLeast"/>
          <w:jc w:val="center"/>
        </w:trPr>
        <w:tc>
          <w:tcPr>
            <w:tcW w:w="26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药品名称</w:t>
            </w:r>
          </w:p>
        </w:tc>
        <w:tc>
          <w:tcPr>
            <w:tcW w:w="1863"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规格</w:t>
            </w:r>
          </w:p>
        </w:tc>
        <w:tc>
          <w:tcPr>
            <w:tcW w:w="2519"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厂家</w:t>
            </w:r>
          </w:p>
        </w:tc>
        <w:tc>
          <w:tcPr>
            <w:tcW w:w="1084" w:type="dxa"/>
            <w:tcBorders>
              <w:top w:val="single" w:color="auto" w:sz="4" w:space="0"/>
              <w:left w:val="nil"/>
              <w:bottom w:val="single" w:color="auto" w:sz="4" w:space="0"/>
              <w:right w:val="single" w:color="auto" w:sz="4" w:space="0"/>
            </w:tcBorders>
            <w:vAlign w:val="center"/>
          </w:tcPr>
          <w:p>
            <w:pPr>
              <w:widowControl/>
              <w:jc w:val="center"/>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jc w:val="center"/>
        </w:trPr>
        <w:tc>
          <w:tcPr>
            <w:tcW w:w="2624"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感冒灵颗粒</w:t>
            </w:r>
          </w:p>
        </w:tc>
        <w:tc>
          <w:tcPr>
            <w:tcW w:w="1863"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w:t>
            </w:r>
            <w:r>
              <w:rPr>
                <w:rFonts w:ascii="微软雅黑" w:hAnsi="微软雅黑" w:eastAsia="微软雅黑" w:cs="微软雅黑"/>
                <w:kern w:val="0"/>
                <w:sz w:val="22"/>
              </w:rPr>
              <w:t>10g*9</w:t>
            </w:r>
            <w:r>
              <w:rPr>
                <w:rFonts w:hint="eastAsia" w:ascii="微软雅黑" w:hAnsi="微软雅黑" w:eastAsia="微软雅黑" w:cs="微软雅黑"/>
                <w:kern w:val="0"/>
                <w:sz w:val="22"/>
              </w:rPr>
              <w:t>袋）</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三九</w:t>
            </w:r>
          </w:p>
        </w:tc>
        <w:tc>
          <w:tcPr>
            <w:tcW w:w="10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32" w:hRule="atLeast"/>
          <w:jc w:val="center"/>
        </w:trPr>
        <w:tc>
          <w:tcPr>
            <w:tcW w:w="2624"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板兰根颗粒</w:t>
            </w:r>
          </w:p>
        </w:tc>
        <w:tc>
          <w:tcPr>
            <w:tcW w:w="1863"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w:t>
            </w:r>
            <w:r>
              <w:rPr>
                <w:rFonts w:ascii="微软雅黑" w:hAnsi="微软雅黑" w:eastAsia="微软雅黑" w:cs="微软雅黑"/>
                <w:kern w:val="0"/>
                <w:sz w:val="22"/>
              </w:rPr>
              <w:t>15g*20</w:t>
            </w:r>
            <w:r>
              <w:rPr>
                <w:rFonts w:hint="eastAsia" w:ascii="微软雅黑" w:hAnsi="微软雅黑" w:eastAsia="微软雅黑" w:cs="微软雅黑"/>
                <w:kern w:val="0"/>
                <w:sz w:val="22"/>
              </w:rPr>
              <w:t>袋）</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（太极桐君阁）</w:t>
            </w:r>
          </w:p>
        </w:tc>
        <w:tc>
          <w:tcPr>
            <w:tcW w:w="10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jc w:val="center"/>
        </w:trPr>
        <w:tc>
          <w:tcPr>
            <w:tcW w:w="2624"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双黄连口服液</w:t>
            </w:r>
          </w:p>
        </w:tc>
        <w:tc>
          <w:tcPr>
            <w:tcW w:w="1863"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w:t>
            </w:r>
            <w:r>
              <w:rPr>
                <w:rFonts w:ascii="微软雅黑" w:hAnsi="微软雅黑" w:eastAsia="微软雅黑" w:cs="微软雅黑"/>
                <w:kern w:val="0"/>
                <w:sz w:val="22"/>
              </w:rPr>
              <w:t>10ml*10</w:t>
            </w:r>
            <w:r>
              <w:rPr>
                <w:rFonts w:hint="eastAsia" w:ascii="微软雅黑" w:hAnsi="微软雅黑" w:eastAsia="微软雅黑" w:cs="微软雅黑"/>
                <w:kern w:val="0"/>
                <w:sz w:val="22"/>
              </w:rPr>
              <w:t>支）</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哈药</w:t>
            </w:r>
          </w:p>
        </w:tc>
        <w:tc>
          <w:tcPr>
            <w:tcW w:w="10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67" w:hRule="atLeast"/>
          <w:jc w:val="center"/>
        </w:trPr>
        <w:tc>
          <w:tcPr>
            <w:tcW w:w="2624"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急支糖浆</w:t>
            </w:r>
          </w:p>
        </w:tc>
        <w:tc>
          <w:tcPr>
            <w:tcW w:w="1863"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kern w:val="0"/>
                <w:sz w:val="22"/>
              </w:rPr>
            </w:pPr>
            <w:r>
              <w:rPr>
                <w:rFonts w:ascii="微软雅黑" w:hAnsi="微软雅黑" w:eastAsia="微软雅黑" w:cs="微软雅黑"/>
                <w:kern w:val="0"/>
                <w:sz w:val="22"/>
              </w:rPr>
              <w:t>200ML</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太极</w:t>
            </w:r>
          </w:p>
        </w:tc>
        <w:tc>
          <w:tcPr>
            <w:tcW w:w="10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jc w:val="center"/>
        </w:trPr>
        <w:tc>
          <w:tcPr>
            <w:tcW w:w="2624"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西瓜霜润喉片</w:t>
            </w:r>
          </w:p>
        </w:tc>
        <w:tc>
          <w:tcPr>
            <w:tcW w:w="1863"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w:t>
            </w:r>
            <w:r>
              <w:rPr>
                <w:rFonts w:ascii="微软雅黑" w:hAnsi="微软雅黑" w:eastAsia="微软雅黑" w:cs="微软雅黑"/>
                <w:kern w:val="0"/>
                <w:sz w:val="22"/>
              </w:rPr>
              <w:t>1.8g*16</w:t>
            </w:r>
            <w:r>
              <w:rPr>
                <w:rFonts w:hint="eastAsia" w:ascii="微软雅黑" w:hAnsi="微软雅黑" w:eastAsia="微软雅黑" w:cs="微软雅黑"/>
                <w:kern w:val="0"/>
                <w:sz w:val="22"/>
              </w:rPr>
              <w:t>片）</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三金</w:t>
            </w:r>
          </w:p>
        </w:tc>
        <w:tc>
          <w:tcPr>
            <w:tcW w:w="10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jc w:val="center"/>
        </w:trPr>
        <w:tc>
          <w:tcPr>
            <w:tcW w:w="2624"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复方草珊瑚含片</w:t>
            </w:r>
          </w:p>
        </w:tc>
        <w:tc>
          <w:tcPr>
            <w:tcW w:w="1863"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1g*24</w:t>
            </w:r>
            <w:r>
              <w:rPr>
                <w:rFonts w:hint="eastAsia" w:ascii="微软雅黑" w:hAnsi="微软雅黑" w:eastAsia="微软雅黑" w:cs="微软雅黑"/>
                <w:kern w:val="0"/>
                <w:sz w:val="22"/>
              </w:rPr>
              <w:t>片</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桂林三金</w:t>
            </w:r>
          </w:p>
        </w:tc>
        <w:tc>
          <w:tcPr>
            <w:tcW w:w="10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jc w:val="center"/>
        </w:trPr>
        <w:tc>
          <w:tcPr>
            <w:tcW w:w="2624"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（水仙风油精）</w:t>
            </w:r>
          </w:p>
        </w:tc>
        <w:tc>
          <w:tcPr>
            <w:tcW w:w="1863"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kern w:val="0"/>
                <w:sz w:val="22"/>
              </w:rPr>
            </w:pPr>
            <w:r>
              <w:rPr>
                <w:rFonts w:ascii="微软雅黑" w:hAnsi="微软雅黑" w:eastAsia="微软雅黑" w:cs="微软雅黑"/>
                <w:kern w:val="0"/>
                <w:sz w:val="22"/>
              </w:rPr>
              <w:t>6ml</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（漳州水仙）</w:t>
            </w:r>
          </w:p>
        </w:tc>
        <w:tc>
          <w:tcPr>
            <w:tcW w:w="10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jc w:val="center"/>
        </w:trPr>
        <w:tc>
          <w:tcPr>
            <w:tcW w:w="2624"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云南白药创可贴</w:t>
            </w:r>
          </w:p>
        </w:tc>
        <w:tc>
          <w:tcPr>
            <w:tcW w:w="1863"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100</w:t>
            </w:r>
            <w:r>
              <w:rPr>
                <w:rFonts w:hint="eastAsia" w:ascii="微软雅黑" w:hAnsi="微软雅黑" w:eastAsia="微软雅黑" w:cs="微软雅黑"/>
                <w:kern w:val="0"/>
                <w:sz w:val="22"/>
              </w:rPr>
              <w:t>片</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云南</w:t>
            </w:r>
          </w:p>
        </w:tc>
        <w:tc>
          <w:tcPr>
            <w:tcW w:w="10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jc w:val="center"/>
        </w:trPr>
        <w:tc>
          <w:tcPr>
            <w:tcW w:w="2624"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医用棉签</w:t>
            </w:r>
          </w:p>
        </w:tc>
        <w:tc>
          <w:tcPr>
            <w:tcW w:w="1863"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50</w:t>
            </w:r>
            <w:r>
              <w:rPr>
                <w:rFonts w:hint="eastAsia" w:ascii="微软雅黑" w:hAnsi="微软雅黑" w:eastAsia="微软雅黑" w:cs="微软雅黑"/>
                <w:kern w:val="0"/>
                <w:sz w:val="22"/>
              </w:rPr>
              <w:t>支</w:t>
            </w:r>
            <w:r>
              <w:rPr>
                <w:rFonts w:ascii="微软雅黑" w:hAnsi="微软雅黑" w:eastAsia="微软雅黑" w:cs="微软雅黑"/>
                <w:kern w:val="0"/>
                <w:sz w:val="22"/>
              </w:rPr>
              <w:t>/</w:t>
            </w:r>
            <w:r>
              <w:rPr>
                <w:rFonts w:hint="eastAsia" w:ascii="微软雅黑" w:hAnsi="微软雅黑" w:eastAsia="微软雅黑" w:cs="微软雅黑"/>
                <w:kern w:val="0"/>
                <w:sz w:val="22"/>
              </w:rPr>
              <w:t>包</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杭州欧康</w:t>
            </w:r>
          </w:p>
        </w:tc>
        <w:tc>
          <w:tcPr>
            <w:tcW w:w="10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jc w:val="center"/>
        </w:trPr>
        <w:tc>
          <w:tcPr>
            <w:tcW w:w="2624"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玻璃体温计（口腔）</w:t>
            </w:r>
          </w:p>
        </w:tc>
        <w:tc>
          <w:tcPr>
            <w:tcW w:w="1863"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小号</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湖南洪江市正兴医疗仪表厂</w:t>
            </w:r>
          </w:p>
        </w:tc>
        <w:tc>
          <w:tcPr>
            <w:tcW w:w="10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jc w:val="center"/>
        </w:trPr>
        <w:tc>
          <w:tcPr>
            <w:tcW w:w="2624"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牛黄解毒片</w:t>
            </w:r>
          </w:p>
        </w:tc>
        <w:tc>
          <w:tcPr>
            <w:tcW w:w="1863"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45</w:t>
            </w:r>
            <w:r>
              <w:rPr>
                <w:rFonts w:hint="eastAsia" w:ascii="微软雅黑" w:hAnsi="微软雅黑" w:eastAsia="微软雅黑" w:cs="微软雅黑"/>
                <w:kern w:val="0"/>
                <w:sz w:val="22"/>
              </w:rPr>
              <w:t>片</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太极</w:t>
            </w:r>
          </w:p>
        </w:tc>
        <w:tc>
          <w:tcPr>
            <w:tcW w:w="10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jc w:val="center"/>
        </w:trPr>
        <w:tc>
          <w:tcPr>
            <w:tcW w:w="2624"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kern w:val="0"/>
                <w:sz w:val="22"/>
              </w:rPr>
            </w:pPr>
            <w:r>
              <w:rPr>
                <w:rFonts w:hint="eastAsia" w:ascii="微软雅黑" w:hAnsi="微软雅黑" w:eastAsia="微软雅黑" w:cs="微软雅黑"/>
                <w:kern w:val="0"/>
                <w:sz w:val="22"/>
              </w:rPr>
              <w:t>氯雷他定片（息斯敏</w:t>
            </w:r>
            <w:r>
              <w:rPr>
                <w:rFonts w:ascii="微软雅黑" w:hAnsi="微软雅黑" w:eastAsia="微软雅黑" w:cs="微软雅黑"/>
                <w:kern w:val="0"/>
                <w:sz w:val="22"/>
              </w:rPr>
              <w:t>)</w:t>
            </w:r>
          </w:p>
        </w:tc>
        <w:tc>
          <w:tcPr>
            <w:tcW w:w="1863"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10mg*6</w:t>
            </w:r>
            <w:r>
              <w:rPr>
                <w:rFonts w:hint="eastAsia" w:ascii="微软雅黑" w:hAnsi="微软雅黑" w:eastAsia="微软雅黑" w:cs="微软雅黑"/>
                <w:kern w:val="0"/>
                <w:sz w:val="22"/>
              </w:rPr>
              <w:t>片</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西安杨森</w:t>
            </w:r>
          </w:p>
        </w:tc>
        <w:tc>
          <w:tcPr>
            <w:tcW w:w="10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jc w:val="center"/>
        </w:trPr>
        <w:tc>
          <w:tcPr>
            <w:tcW w:w="2624"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云南白药气雾剂</w:t>
            </w:r>
          </w:p>
        </w:tc>
        <w:tc>
          <w:tcPr>
            <w:tcW w:w="1863"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kern w:val="0"/>
                <w:sz w:val="22"/>
              </w:rPr>
            </w:pPr>
            <w:r>
              <w:rPr>
                <w:rFonts w:ascii="微软雅黑" w:hAnsi="微软雅黑" w:eastAsia="微软雅黑" w:cs="微软雅黑"/>
                <w:kern w:val="0"/>
                <w:sz w:val="22"/>
              </w:rPr>
              <w:t>85g+30g</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云南</w:t>
            </w:r>
          </w:p>
        </w:tc>
        <w:tc>
          <w:tcPr>
            <w:tcW w:w="10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jc w:val="center"/>
        </w:trPr>
        <w:tc>
          <w:tcPr>
            <w:tcW w:w="2624"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江中健胃消食片</w:t>
            </w:r>
          </w:p>
        </w:tc>
        <w:tc>
          <w:tcPr>
            <w:tcW w:w="1863"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0.8g*8</w:t>
            </w:r>
            <w:r>
              <w:rPr>
                <w:rFonts w:hint="eastAsia" w:ascii="微软雅黑" w:hAnsi="微软雅黑" w:eastAsia="微软雅黑" w:cs="微软雅黑"/>
                <w:kern w:val="0"/>
                <w:sz w:val="22"/>
              </w:rPr>
              <w:t>片</w:t>
            </w:r>
            <w:r>
              <w:rPr>
                <w:rFonts w:ascii="微软雅黑" w:hAnsi="微软雅黑" w:eastAsia="微软雅黑" w:cs="微软雅黑"/>
                <w:kern w:val="0"/>
                <w:sz w:val="22"/>
              </w:rPr>
              <w:t>*4</w:t>
            </w:r>
            <w:r>
              <w:rPr>
                <w:rFonts w:hint="eastAsia" w:ascii="微软雅黑" w:hAnsi="微软雅黑" w:eastAsia="微软雅黑" w:cs="微软雅黑"/>
                <w:kern w:val="0"/>
                <w:sz w:val="22"/>
              </w:rPr>
              <w:t>板</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江中</w:t>
            </w:r>
          </w:p>
        </w:tc>
        <w:tc>
          <w:tcPr>
            <w:tcW w:w="10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jc w:val="center"/>
        </w:trPr>
        <w:tc>
          <w:tcPr>
            <w:tcW w:w="2624"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kern w:val="0"/>
                <w:sz w:val="22"/>
              </w:rPr>
            </w:pPr>
            <w:r>
              <w:rPr>
                <w:rFonts w:hint="eastAsia" w:ascii="微软雅黑" w:hAnsi="微软雅黑" w:eastAsia="微软雅黑" w:cs="微软雅黑"/>
                <w:kern w:val="0"/>
                <w:sz w:val="22"/>
              </w:rPr>
              <w:t>林可霉素利多卡因凝胶</w:t>
            </w:r>
            <w:r>
              <w:rPr>
                <w:rFonts w:ascii="微软雅黑" w:hAnsi="微软雅黑" w:eastAsia="微软雅黑" w:cs="微软雅黑"/>
                <w:kern w:val="0"/>
                <w:sz w:val="22"/>
              </w:rPr>
              <w:t>(</w:t>
            </w:r>
            <w:r>
              <w:rPr>
                <w:rFonts w:hint="eastAsia" w:ascii="微软雅黑" w:hAnsi="微软雅黑" w:eastAsia="微软雅黑" w:cs="微软雅黑"/>
                <w:kern w:val="0"/>
                <w:sz w:val="22"/>
              </w:rPr>
              <w:t>绿药膏</w:t>
            </w:r>
            <w:r>
              <w:rPr>
                <w:rFonts w:ascii="微软雅黑" w:hAnsi="微软雅黑" w:eastAsia="微软雅黑" w:cs="微软雅黑"/>
                <w:kern w:val="0"/>
                <w:sz w:val="22"/>
              </w:rPr>
              <w:t>)</w:t>
            </w:r>
          </w:p>
        </w:tc>
        <w:tc>
          <w:tcPr>
            <w:tcW w:w="1863"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1</w:t>
            </w:r>
            <w:r>
              <w:rPr>
                <w:rFonts w:hint="eastAsia" w:ascii="微软雅黑" w:hAnsi="微软雅黑" w:eastAsia="微软雅黑" w:cs="微软雅黑"/>
                <w:kern w:val="0"/>
                <w:sz w:val="22"/>
              </w:rPr>
              <w:t>0克</w:t>
            </w:r>
            <w:r>
              <w:rPr>
                <w:rFonts w:ascii="微软雅黑" w:hAnsi="微软雅黑" w:eastAsia="微软雅黑" w:cs="微软雅黑"/>
                <w:kern w:val="0"/>
                <w:sz w:val="22"/>
              </w:rPr>
              <w:t>/</w:t>
            </w:r>
            <w:r>
              <w:rPr>
                <w:rFonts w:hint="eastAsia" w:ascii="微软雅黑" w:hAnsi="微软雅黑" w:eastAsia="微软雅黑" w:cs="微软雅黑"/>
                <w:kern w:val="0"/>
                <w:sz w:val="22"/>
              </w:rPr>
              <w:t>瓶</w:t>
            </w:r>
            <w:r>
              <w:rPr>
                <w:rFonts w:ascii="微软雅黑" w:hAnsi="微软雅黑" w:eastAsia="微软雅黑" w:cs="微软雅黑"/>
                <w:kern w:val="0"/>
                <w:sz w:val="22"/>
              </w:rPr>
              <w:t>/</w:t>
            </w:r>
            <w:r>
              <w:rPr>
                <w:rFonts w:hint="eastAsia" w:ascii="微软雅黑" w:hAnsi="微软雅黑" w:eastAsia="微软雅黑" w:cs="微软雅黑"/>
                <w:kern w:val="0"/>
                <w:sz w:val="22"/>
              </w:rPr>
              <w:t>盒</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（山东方宁药业）</w:t>
            </w:r>
          </w:p>
        </w:tc>
        <w:tc>
          <w:tcPr>
            <w:tcW w:w="10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jc w:val="center"/>
        </w:trPr>
        <w:tc>
          <w:tcPr>
            <w:tcW w:w="2624"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红糖</w:t>
            </w:r>
          </w:p>
        </w:tc>
        <w:tc>
          <w:tcPr>
            <w:tcW w:w="1863"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15g*12</w:t>
            </w:r>
            <w:r>
              <w:rPr>
                <w:rFonts w:hint="eastAsia" w:ascii="微软雅黑" w:hAnsi="微软雅黑" w:eastAsia="微软雅黑" w:cs="微软雅黑"/>
                <w:kern w:val="0"/>
                <w:sz w:val="22"/>
              </w:rPr>
              <w:t>条</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上海豆政生物科技有限公司</w:t>
            </w:r>
          </w:p>
        </w:tc>
        <w:tc>
          <w:tcPr>
            <w:tcW w:w="10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jc w:val="center"/>
        </w:trPr>
        <w:tc>
          <w:tcPr>
            <w:tcW w:w="2624"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医用胶布</w:t>
            </w:r>
          </w:p>
        </w:tc>
        <w:tc>
          <w:tcPr>
            <w:tcW w:w="1863"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1.2cm*900cm</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稳健实业</w:t>
            </w:r>
          </w:p>
        </w:tc>
        <w:tc>
          <w:tcPr>
            <w:tcW w:w="10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jc w:val="center"/>
        </w:trPr>
        <w:tc>
          <w:tcPr>
            <w:tcW w:w="2624"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晕车药</w:t>
            </w:r>
          </w:p>
        </w:tc>
        <w:tc>
          <w:tcPr>
            <w:tcW w:w="1863"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12</w:t>
            </w:r>
            <w:r>
              <w:rPr>
                <w:rFonts w:hint="eastAsia" w:ascii="微软雅黑" w:hAnsi="微软雅黑" w:eastAsia="微软雅黑" w:cs="微软雅黑"/>
                <w:kern w:val="0"/>
                <w:sz w:val="22"/>
              </w:rPr>
              <w:t>片</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广州白云山</w:t>
            </w:r>
          </w:p>
        </w:tc>
        <w:tc>
          <w:tcPr>
            <w:tcW w:w="10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jc w:val="center"/>
        </w:trPr>
        <w:tc>
          <w:tcPr>
            <w:tcW w:w="2624"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西瓜霜喷雾（治疗口腔溃疡）</w:t>
            </w:r>
          </w:p>
        </w:tc>
        <w:tc>
          <w:tcPr>
            <w:tcW w:w="1863"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kern w:val="0"/>
                <w:sz w:val="22"/>
              </w:rPr>
            </w:pPr>
            <w:r>
              <w:rPr>
                <w:rFonts w:ascii="微软雅黑" w:hAnsi="微软雅黑" w:eastAsia="微软雅黑" w:cs="微软雅黑"/>
                <w:kern w:val="0"/>
                <w:sz w:val="22"/>
              </w:rPr>
              <w:t>2.5g</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桂林三金</w:t>
            </w:r>
          </w:p>
        </w:tc>
        <w:tc>
          <w:tcPr>
            <w:tcW w:w="10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jc w:val="center"/>
        </w:trPr>
        <w:tc>
          <w:tcPr>
            <w:tcW w:w="2624"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红霉素眼膏</w:t>
            </w:r>
          </w:p>
        </w:tc>
        <w:tc>
          <w:tcPr>
            <w:tcW w:w="1863"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kern w:val="0"/>
                <w:sz w:val="22"/>
              </w:rPr>
            </w:pPr>
            <w:r>
              <w:rPr>
                <w:rFonts w:ascii="微软雅黑" w:hAnsi="微软雅黑" w:eastAsia="微软雅黑" w:cs="微软雅黑"/>
                <w:kern w:val="0"/>
                <w:sz w:val="22"/>
              </w:rPr>
              <w:t>2g</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南京百敬宇</w:t>
            </w:r>
          </w:p>
        </w:tc>
        <w:tc>
          <w:tcPr>
            <w:tcW w:w="10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jc w:val="center"/>
        </w:trPr>
        <w:tc>
          <w:tcPr>
            <w:tcW w:w="2624"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牙痛一粒丸</w:t>
            </w:r>
          </w:p>
        </w:tc>
        <w:tc>
          <w:tcPr>
            <w:tcW w:w="1863"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30</w:t>
            </w:r>
            <w:r>
              <w:rPr>
                <w:rFonts w:hint="eastAsia" w:ascii="微软雅黑" w:hAnsi="微软雅黑" w:eastAsia="微软雅黑" w:cs="微软雅黑"/>
                <w:kern w:val="0"/>
                <w:sz w:val="22"/>
              </w:rPr>
              <w:t>粒</w:t>
            </w:r>
            <w:r>
              <w:rPr>
                <w:rFonts w:ascii="微软雅黑" w:hAnsi="微软雅黑" w:eastAsia="微软雅黑" w:cs="微软雅黑"/>
                <w:kern w:val="0"/>
                <w:sz w:val="22"/>
              </w:rPr>
              <w:t>*2</w:t>
            </w:r>
            <w:r>
              <w:rPr>
                <w:rFonts w:hint="eastAsia" w:ascii="微软雅黑" w:hAnsi="微软雅黑" w:eastAsia="微软雅黑" w:cs="微软雅黑"/>
                <w:kern w:val="0"/>
                <w:sz w:val="22"/>
              </w:rPr>
              <w:t>瓶</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广州敬继堂</w:t>
            </w:r>
          </w:p>
        </w:tc>
        <w:tc>
          <w:tcPr>
            <w:tcW w:w="10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67" w:hRule="atLeast"/>
          <w:jc w:val="center"/>
        </w:trPr>
        <w:tc>
          <w:tcPr>
            <w:tcW w:w="2624"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仁和可立克</w:t>
            </w:r>
          </w:p>
        </w:tc>
        <w:tc>
          <w:tcPr>
            <w:tcW w:w="1863"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10</w:t>
            </w:r>
            <w:r>
              <w:rPr>
                <w:rFonts w:hint="eastAsia" w:ascii="微软雅黑" w:hAnsi="微软雅黑" w:eastAsia="微软雅黑" w:cs="微软雅黑"/>
                <w:kern w:val="0"/>
                <w:sz w:val="22"/>
              </w:rPr>
              <w:t>粒</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江西铜鼓</w:t>
            </w:r>
          </w:p>
        </w:tc>
        <w:tc>
          <w:tcPr>
            <w:tcW w:w="10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jc w:val="center"/>
        </w:trPr>
        <w:tc>
          <w:tcPr>
            <w:tcW w:w="2624"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芬必得</w:t>
            </w:r>
          </w:p>
        </w:tc>
        <w:tc>
          <w:tcPr>
            <w:tcW w:w="1863"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0.3g*20</w:t>
            </w:r>
            <w:r>
              <w:rPr>
                <w:rFonts w:hint="eastAsia" w:ascii="微软雅黑" w:hAnsi="微软雅黑" w:eastAsia="微软雅黑" w:cs="微软雅黑"/>
                <w:kern w:val="0"/>
                <w:sz w:val="22"/>
              </w:rPr>
              <w:t>粒</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中美天津史克</w:t>
            </w:r>
          </w:p>
        </w:tc>
        <w:tc>
          <w:tcPr>
            <w:tcW w:w="10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jc w:val="center"/>
        </w:trPr>
        <w:tc>
          <w:tcPr>
            <w:tcW w:w="2624"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三九皮炎平</w:t>
            </w:r>
          </w:p>
        </w:tc>
        <w:tc>
          <w:tcPr>
            <w:tcW w:w="1863"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kern w:val="0"/>
                <w:sz w:val="22"/>
              </w:rPr>
            </w:pPr>
            <w:r>
              <w:rPr>
                <w:rFonts w:ascii="微软雅黑" w:hAnsi="微软雅黑" w:eastAsia="微软雅黑" w:cs="微软雅黑"/>
                <w:kern w:val="0"/>
                <w:sz w:val="22"/>
              </w:rPr>
              <w:t>20g</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三九医药</w:t>
            </w:r>
          </w:p>
        </w:tc>
        <w:tc>
          <w:tcPr>
            <w:tcW w:w="10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jc w:val="center"/>
        </w:trPr>
        <w:tc>
          <w:tcPr>
            <w:tcW w:w="2624"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正天丸</w:t>
            </w:r>
            <w:r>
              <w:rPr>
                <w:rFonts w:ascii="微软雅黑" w:hAnsi="微软雅黑" w:eastAsia="微软雅黑" w:cs="微软雅黑"/>
                <w:kern w:val="0"/>
                <w:sz w:val="22"/>
              </w:rPr>
              <w:t>(</w:t>
            </w:r>
            <w:r>
              <w:rPr>
                <w:rFonts w:hint="eastAsia" w:ascii="微软雅黑" w:hAnsi="微软雅黑" w:eastAsia="微软雅黑" w:cs="微软雅黑"/>
                <w:kern w:val="0"/>
                <w:sz w:val="22"/>
              </w:rPr>
              <w:t>偏头痛）</w:t>
            </w:r>
          </w:p>
        </w:tc>
        <w:tc>
          <w:tcPr>
            <w:tcW w:w="1863"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6g*10</w:t>
            </w:r>
            <w:r>
              <w:rPr>
                <w:rFonts w:hint="eastAsia" w:ascii="微软雅黑" w:hAnsi="微软雅黑" w:eastAsia="微软雅黑" w:cs="微软雅黑"/>
                <w:kern w:val="0"/>
                <w:sz w:val="22"/>
              </w:rPr>
              <w:t>袋</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kern w:val="0"/>
                <w:sz w:val="22"/>
              </w:rPr>
            </w:pPr>
            <w:r>
              <w:rPr>
                <w:rFonts w:hint="eastAsia" w:ascii="微软雅黑" w:hAnsi="微软雅黑" w:eastAsia="微软雅黑" w:cs="微软雅黑"/>
                <w:kern w:val="0"/>
                <w:sz w:val="22"/>
              </w:rPr>
              <w:t>华润三九</w:t>
            </w:r>
          </w:p>
        </w:tc>
        <w:tc>
          <w:tcPr>
            <w:tcW w:w="10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jc w:val="center"/>
        </w:trPr>
        <w:tc>
          <w:tcPr>
            <w:tcW w:w="2624"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慢咽舒柠</w:t>
            </w:r>
            <w:r>
              <w:rPr>
                <w:rFonts w:ascii="微软雅黑" w:hAnsi="微软雅黑" w:eastAsia="微软雅黑" w:cs="微软雅黑"/>
                <w:kern w:val="0"/>
                <w:sz w:val="22"/>
              </w:rPr>
              <w:t xml:space="preserve"> </w:t>
            </w:r>
            <w:r>
              <w:rPr>
                <w:rFonts w:hint="eastAsia" w:ascii="微软雅黑" w:hAnsi="微软雅黑" w:eastAsia="微软雅黑" w:cs="微软雅黑"/>
                <w:kern w:val="0"/>
                <w:sz w:val="22"/>
              </w:rPr>
              <w:t>清喉利咽颗粒</w:t>
            </w:r>
          </w:p>
        </w:tc>
        <w:tc>
          <w:tcPr>
            <w:tcW w:w="1863"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5g*6</w:t>
            </w:r>
            <w:r>
              <w:rPr>
                <w:rFonts w:hint="eastAsia" w:ascii="微软雅黑" w:hAnsi="微软雅黑" w:eastAsia="微软雅黑" w:cs="微软雅黑"/>
                <w:kern w:val="0"/>
                <w:sz w:val="22"/>
              </w:rPr>
              <w:t>袋</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山西桂龙</w:t>
            </w:r>
          </w:p>
        </w:tc>
        <w:tc>
          <w:tcPr>
            <w:tcW w:w="10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jc w:val="center"/>
        </w:trPr>
        <w:tc>
          <w:tcPr>
            <w:tcW w:w="2624"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蒲地蓝消炎片</w:t>
            </w:r>
          </w:p>
        </w:tc>
        <w:tc>
          <w:tcPr>
            <w:tcW w:w="1863"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0.3*</w:t>
            </w:r>
            <w:r>
              <w:rPr>
                <w:rFonts w:hint="eastAsia" w:ascii="微软雅黑" w:hAnsi="微软雅黑" w:eastAsia="微软雅黑" w:cs="微软雅黑"/>
                <w:kern w:val="0"/>
                <w:sz w:val="22"/>
              </w:rPr>
              <w:t>72片</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云南白药</w:t>
            </w:r>
          </w:p>
        </w:tc>
        <w:tc>
          <w:tcPr>
            <w:tcW w:w="10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0" w:hRule="atLeast"/>
          <w:jc w:val="center"/>
        </w:trPr>
        <w:tc>
          <w:tcPr>
            <w:tcW w:w="2624"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避蚊乐</w:t>
            </w:r>
          </w:p>
        </w:tc>
        <w:tc>
          <w:tcPr>
            <w:tcW w:w="1863"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kern w:val="0"/>
                <w:sz w:val="22"/>
              </w:rPr>
            </w:pPr>
            <w:r>
              <w:rPr>
                <w:rFonts w:ascii="微软雅黑" w:hAnsi="微软雅黑" w:eastAsia="微软雅黑" w:cs="微软雅黑"/>
                <w:kern w:val="0"/>
                <w:sz w:val="22"/>
              </w:rPr>
              <w:t>48*50ml</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冰王</w:t>
            </w:r>
          </w:p>
        </w:tc>
        <w:tc>
          <w:tcPr>
            <w:tcW w:w="10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jc w:val="center"/>
        </w:trPr>
        <w:tc>
          <w:tcPr>
            <w:tcW w:w="2624"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藿香正气口服液</w:t>
            </w:r>
          </w:p>
        </w:tc>
        <w:tc>
          <w:tcPr>
            <w:tcW w:w="1863"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10ml*5</w:t>
            </w:r>
            <w:r>
              <w:rPr>
                <w:rFonts w:hint="eastAsia" w:ascii="微软雅黑" w:hAnsi="微软雅黑" w:eastAsia="微软雅黑" w:cs="微软雅黑"/>
                <w:kern w:val="0"/>
                <w:sz w:val="22"/>
              </w:rPr>
              <w:t>支</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太极</w:t>
            </w:r>
          </w:p>
        </w:tc>
        <w:tc>
          <w:tcPr>
            <w:tcW w:w="10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jc w:val="center"/>
        </w:trPr>
        <w:tc>
          <w:tcPr>
            <w:tcW w:w="2624"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足光散</w:t>
            </w:r>
          </w:p>
        </w:tc>
        <w:tc>
          <w:tcPr>
            <w:tcW w:w="1863"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40g*3</w:t>
            </w:r>
            <w:r>
              <w:rPr>
                <w:rFonts w:hint="eastAsia" w:ascii="微软雅黑" w:hAnsi="微软雅黑" w:eastAsia="微软雅黑" w:cs="微软雅黑"/>
                <w:kern w:val="0"/>
                <w:sz w:val="22"/>
              </w:rPr>
              <w:t>袋</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成都九芝堂</w:t>
            </w:r>
          </w:p>
        </w:tc>
        <w:tc>
          <w:tcPr>
            <w:tcW w:w="10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jc w:val="center"/>
        </w:trPr>
        <w:tc>
          <w:tcPr>
            <w:tcW w:w="2624"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克咳胶囊</w:t>
            </w:r>
          </w:p>
        </w:tc>
        <w:tc>
          <w:tcPr>
            <w:tcW w:w="1863"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0.3g*21</w:t>
            </w:r>
            <w:r>
              <w:rPr>
                <w:rFonts w:hint="eastAsia" w:ascii="微软雅黑" w:hAnsi="微软雅黑" w:eastAsia="微软雅黑" w:cs="微软雅黑"/>
                <w:kern w:val="0"/>
                <w:sz w:val="22"/>
              </w:rPr>
              <w:t>粒</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贵州益佰</w:t>
            </w:r>
          </w:p>
        </w:tc>
        <w:tc>
          <w:tcPr>
            <w:tcW w:w="10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jc w:val="center"/>
        </w:trPr>
        <w:tc>
          <w:tcPr>
            <w:tcW w:w="2624"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白云山</w:t>
            </w:r>
            <w:r>
              <w:rPr>
                <w:rFonts w:ascii="微软雅黑" w:hAnsi="微软雅黑" w:eastAsia="微软雅黑" w:cs="微软雅黑"/>
                <w:kern w:val="0"/>
                <w:sz w:val="22"/>
              </w:rPr>
              <w:t xml:space="preserve"> </w:t>
            </w:r>
            <w:r>
              <w:rPr>
                <w:rFonts w:hint="eastAsia" w:ascii="微软雅黑" w:hAnsi="微软雅黑" w:eastAsia="微软雅黑" w:cs="微软雅黑"/>
                <w:kern w:val="0"/>
                <w:sz w:val="22"/>
              </w:rPr>
              <w:t>口炎清颗粒</w:t>
            </w:r>
          </w:p>
        </w:tc>
        <w:tc>
          <w:tcPr>
            <w:tcW w:w="1863"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10g*12</w:t>
            </w:r>
            <w:r>
              <w:rPr>
                <w:rFonts w:hint="eastAsia" w:ascii="微软雅黑" w:hAnsi="微软雅黑" w:eastAsia="微软雅黑" w:cs="微软雅黑"/>
                <w:kern w:val="0"/>
                <w:sz w:val="22"/>
              </w:rPr>
              <w:t>包</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广州白云山</w:t>
            </w:r>
          </w:p>
        </w:tc>
        <w:tc>
          <w:tcPr>
            <w:tcW w:w="10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jc w:val="center"/>
        </w:trPr>
        <w:tc>
          <w:tcPr>
            <w:tcW w:w="2624"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喷雾花露水</w:t>
            </w:r>
          </w:p>
        </w:tc>
        <w:tc>
          <w:tcPr>
            <w:tcW w:w="1863"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180ml</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六神</w:t>
            </w:r>
          </w:p>
        </w:tc>
        <w:tc>
          <w:tcPr>
            <w:tcW w:w="10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jc w:val="center"/>
        </w:trPr>
        <w:tc>
          <w:tcPr>
            <w:tcW w:w="2624"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达喜铝碳酸镁片</w:t>
            </w:r>
          </w:p>
        </w:tc>
        <w:tc>
          <w:tcPr>
            <w:tcW w:w="1863"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500Mg*20</w:t>
            </w:r>
            <w:r>
              <w:rPr>
                <w:rFonts w:hint="eastAsia" w:ascii="微软雅黑" w:hAnsi="微软雅黑" w:eastAsia="微软雅黑" w:cs="微软雅黑"/>
                <w:kern w:val="0"/>
                <w:sz w:val="22"/>
              </w:rPr>
              <w:t>片</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拜耳医药</w:t>
            </w:r>
          </w:p>
        </w:tc>
        <w:tc>
          <w:tcPr>
            <w:tcW w:w="10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jc w:val="center"/>
        </w:trPr>
        <w:tc>
          <w:tcPr>
            <w:tcW w:w="2624"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三九胃泰颗粒</w:t>
            </w:r>
          </w:p>
        </w:tc>
        <w:tc>
          <w:tcPr>
            <w:tcW w:w="1863"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20G*6</w:t>
            </w:r>
            <w:r>
              <w:rPr>
                <w:rFonts w:hint="eastAsia" w:ascii="微软雅黑" w:hAnsi="微软雅黑" w:eastAsia="微软雅黑" w:cs="微软雅黑"/>
                <w:kern w:val="0"/>
                <w:sz w:val="22"/>
              </w:rPr>
              <w:t>包</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三九药业</w:t>
            </w:r>
          </w:p>
        </w:tc>
        <w:tc>
          <w:tcPr>
            <w:tcW w:w="10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jc w:val="center"/>
        </w:trPr>
        <w:tc>
          <w:tcPr>
            <w:tcW w:w="2624"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黄芪精口服液</w:t>
            </w:r>
          </w:p>
        </w:tc>
        <w:tc>
          <w:tcPr>
            <w:tcW w:w="1863"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10ml*10</w:t>
            </w:r>
            <w:r>
              <w:rPr>
                <w:rFonts w:hint="eastAsia" w:ascii="微软雅黑" w:hAnsi="微软雅黑" w:eastAsia="微软雅黑" w:cs="微软雅黑"/>
                <w:kern w:val="0"/>
                <w:sz w:val="22"/>
              </w:rPr>
              <w:t>支</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江苏扬子江</w:t>
            </w:r>
          </w:p>
        </w:tc>
        <w:tc>
          <w:tcPr>
            <w:tcW w:w="10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jc w:val="center"/>
        </w:trPr>
        <w:tc>
          <w:tcPr>
            <w:tcW w:w="2624"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闪亮</w:t>
            </w:r>
            <w:r>
              <w:rPr>
                <w:rFonts w:ascii="微软雅黑" w:hAnsi="微软雅黑" w:eastAsia="微软雅黑" w:cs="微软雅黑"/>
                <w:kern w:val="0"/>
                <w:sz w:val="22"/>
              </w:rPr>
              <w:t xml:space="preserve"> </w:t>
            </w:r>
            <w:r>
              <w:rPr>
                <w:rFonts w:hint="eastAsia" w:ascii="微软雅黑" w:hAnsi="微软雅黑" w:eastAsia="微软雅黑" w:cs="微软雅黑"/>
                <w:kern w:val="0"/>
                <w:sz w:val="22"/>
              </w:rPr>
              <w:t>复方麦门冬维甘滴眼液</w:t>
            </w:r>
          </w:p>
        </w:tc>
        <w:tc>
          <w:tcPr>
            <w:tcW w:w="1863"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w:t>
            </w:r>
            <w:r>
              <w:rPr>
                <w:rFonts w:ascii="微软雅黑" w:hAnsi="微软雅黑" w:eastAsia="微软雅黑" w:cs="微软雅黑"/>
                <w:kern w:val="0"/>
                <w:sz w:val="22"/>
              </w:rPr>
              <w:t>15ml</w:t>
            </w:r>
            <w:r>
              <w:rPr>
                <w:rFonts w:hint="eastAsia" w:ascii="微软雅黑" w:hAnsi="微软雅黑" w:eastAsia="微软雅黑" w:cs="微软雅黑"/>
                <w:kern w:val="0"/>
                <w:sz w:val="22"/>
              </w:rPr>
              <w:t>）</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江西闪亮</w:t>
            </w:r>
          </w:p>
        </w:tc>
        <w:tc>
          <w:tcPr>
            <w:tcW w:w="10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jc w:val="center"/>
        </w:trPr>
        <w:tc>
          <w:tcPr>
            <w:tcW w:w="2624"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吴太</w:t>
            </w:r>
            <w:r>
              <w:rPr>
                <w:rFonts w:ascii="微软雅黑" w:hAnsi="微软雅黑" w:eastAsia="微软雅黑" w:cs="微软雅黑"/>
                <w:kern w:val="0"/>
                <w:sz w:val="22"/>
              </w:rPr>
              <w:t xml:space="preserve"> </w:t>
            </w:r>
            <w:r>
              <w:rPr>
                <w:rFonts w:hint="eastAsia" w:ascii="微软雅黑" w:hAnsi="微软雅黑" w:eastAsia="微软雅黑" w:cs="微软雅黑"/>
                <w:kern w:val="0"/>
                <w:sz w:val="22"/>
              </w:rPr>
              <w:t>咽炎片</w:t>
            </w:r>
          </w:p>
        </w:tc>
        <w:tc>
          <w:tcPr>
            <w:tcW w:w="1863"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30</w:t>
            </w:r>
            <w:r>
              <w:rPr>
                <w:rFonts w:hint="eastAsia" w:ascii="微软雅黑" w:hAnsi="微软雅黑" w:eastAsia="微软雅黑" w:cs="微软雅黑"/>
                <w:kern w:val="0"/>
                <w:sz w:val="22"/>
              </w:rPr>
              <w:t>片</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吉林省吴太感康</w:t>
            </w:r>
          </w:p>
        </w:tc>
        <w:tc>
          <w:tcPr>
            <w:tcW w:w="10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jc w:val="center"/>
        </w:trPr>
        <w:tc>
          <w:tcPr>
            <w:tcW w:w="2624"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云南白药膏</w:t>
            </w:r>
          </w:p>
        </w:tc>
        <w:tc>
          <w:tcPr>
            <w:tcW w:w="1863"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6.5CM*10CM*5</w:t>
            </w:r>
            <w:r>
              <w:rPr>
                <w:rFonts w:hint="eastAsia" w:ascii="微软雅黑" w:hAnsi="微软雅黑" w:eastAsia="微软雅黑" w:cs="微软雅黑"/>
                <w:kern w:val="0"/>
                <w:sz w:val="22"/>
              </w:rPr>
              <w:t>贴</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云南</w:t>
            </w:r>
          </w:p>
        </w:tc>
        <w:tc>
          <w:tcPr>
            <w:tcW w:w="10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jc w:val="center"/>
        </w:trPr>
        <w:tc>
          <w:tcPr>
            <w:tcW w:w="2624"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真龙正红花油</w:t>
            </w:r>
          </w:p>
        </w:tc>
        <w:tc>
          <w:tcPr>
            <w:tcW w:w="1863"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kern w:val="0"/>
                <w:sz w:val="22"/>
              </w:rPr>
            </w:pPr>
            <w:r>
              <w:rPr>
                <w:rFonts w:ascii="微软雅黑" w:hAnsi="微软雅黑" w:eastAsia="微软雅黑" w:cs="微软雅黑"/>
                <w:kern w:val="0"/>
                <w:sz w:val="22"/>
              </w:rPr>
              <w:t>20ML</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成都东祥</w:t>
            </w:r>
          </w:p>
        </w:tc>
        <w:tc>
          <w:tcPr>
            <w:tcW w:w="10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jc w:val="center"/>
        </w:trPr>
        <w:tc>
          <w:tcPr>
            <w:tcW w:w="2624"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防护口罩</w:t>
            </w:r>
          </w:p>
        </w:tc>
        <w:tc>
          <w:tcPr>
            <w:tcW w:w="1863"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18CM*18CM*5</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hint="eastAsia" w:ascii="微软雅黑" w:hAnsi="微软雅黑" w:eastAsia="微软雅黑" w:cs="微软雅黑"/>
                <w:kern w:val="0"/>
                <w:sz w:val="22"/>
              </w:rPr>
              <w:t>稳健实业</w:t>
            </w:r>
          </w:p>
        </w:tc>
        <w:tc>
          <w:tcPr>
            <w:tcW w:w="1084"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kern w:val="0"/>
                <w:sz w:val="22"/>
              </w:rPr>
            </w:pPr>
            <w:r>
              <w:rPr>
                <w:rFonts w:ascii="微软雅黑" w:hAnsi="微软雅黑" w:eastAsia="微软雅黑" w:cs="微软雅黑"/>
                <w:kern w:val="0"/>
                <w:sz w:val="22"/>
              </w:rPr>
              <w:t>3.5</w:t>
            </w:r>
          </w:p>
        </w:tc>
      </w:tr>
    </w:tbl>
    <w:p>
      <w:pPr>
        <w:tabs>
          <w:tab w:val="left" w:pos="3600"/>
        </w:tabs>
        <w:spacing w:beforeLines="10"/>
        <w:ind w:left="357"/>
        <w:jc w:val="left"/>
        <w:rPr>
          <w:szCs w:val="24"/>
        </w:rPr>
      </w:pPr>
    </w:p>
    <w:p>
      <w:pPr>
        <w:numPr>
          <w:ilvl w:val="1"/>
          <w:numId w:val="2"/>
        </w:numPr>
        <w:tabs>
          <w:tab w:val="left" w:pos="360"/>
        </w:tabs>
        <w:spacing w:beforeLines="10"/>
        <w:ind w:left="357" w:hanging="357"/>
        <w:jc w:val="left"/>
        <w:rPr>
          <w:rFonts w:ascii="Arial" w:cs="Arial"/>
          <w:sz w:val="22"/>
        </w:rPr>
      </w:pPr>
      <w:r>
        <w:rPr>
          <w:rFonts w:hint="eastAsia" w:ascii="Arial" w:cs="Arial"/>
          <w:sz w:val="22"/>
        </w:rPr>
        <w:t>每月数量以当月下单为准，</w:t>
      </w:r>
      <w:r>
        <w:rPr>
          <w:rFonts w:ascii="Arial" w:cs="Arial"/>
          <w:sz w:val="22"/>
        </w:rPr>
        <w:t>合同金额</w:t>
      </w:r>
      <w:r>
        <w:rPr>
          <w:rFonts w:hint="eastAsia" w:ascii="Arial" w:cs="Arial"/>
          <w:sz w:val="22"/>
        </w:rPr>
        <w:t>以实际结算为准，且</w:t>
      </w:r>
      <w:r>
        <w:rPr>
          <w:rFonts w:ascii="Arial" w:cs="Arial"/>
          <w:sz w:val="22"/>
        </w:rPr>
        <w:t>为总费用，包含本合同所提到的完整的产品、技术文件、运输、保险</w:t>
      </w:r>
      <w:r>
        <w:rPr>
          <w:rFonts w:hint="eastAsia" w:ascii="Arial" w:cs="Arial"/>
          <w:sz w:val="22"/>
        </w:rPr>
        <w:t>等</w:t>
      </w:r>
      <w:r>
        <w:rPr>
          <w:rFonts w:ascii="Arial" w:cs="Arial"/>
          <w:sz w:val="22"/>
        </w:rPr>
        <w:t>完税价</w:t>
      </w:r>
      <w:r>
        <w:rPr>
          <w:rFonts w:hint="eastAsia" w:ascii="Arial" w:cs="Arial"/>
          <w:sz w:val="22"/>
        </w:rPr>
        <w:t>。</w:t>
      </w:r>
    </w:p>
    <w:p>
      <w:pPr>
        <w:numPr>
          <w:ilvl w:val="1"/>
          <w:numId w:val="2"/>
        </w:numPr>
        <w:tabs>
          <w:tab w:val="left" w:pos="360"/>
        </w:tabs>
        <w:spacing w:beforeLines="10"/>
        <w:ind w:left="357" w:hanging="357"/>
        <w:jc w:val="left"/>
        <w:rPr>
          <w:rFonts w:ascii="Arial" w:cs="Arial"/>
          <w:sz w:val="22"/>
        </w:rPr>
      </w:pPr>
      <w:r>
        <w:rPr>
          <w:rFonts w:hint="eastAsia" w:ascii="Arial" w:cs="Arial"/>
          <w:sz w:val="22"/>
        </w:rPr>
        <w:t>乙方应确保提供给甲方药品的正规安全，如有违约，由乙方承担全部责任。</w:t>
      </w:r>
    </w:p>
    <w:p>
      <w:pPr>
        <w:numPr>
          <w:ilvl w:val="1"/>
          <w:numId w:val="2"/>
        </w:numPr>
        <w:tabs>
          <w:tab w:val="left" w:pos="360"/>
        </w:tabs>
        <w:spacing w:beforeLines="10"/>
        <w:ind w:left="357" w:hanging="357"/>
        <w:jc w:val="left"/>
        <w:rPr>
          <w:rFonts w:ascii="Arial" w:cs="Arial"/>
          <w:sz w:val="22"/>
        </w:rPr>
      </w:pPr>
      <w:bookmarkStart w:id="0" w:name="_Toc349553769"/>
      <w:bookmarkStart w:id="1" w:name="_Toc349723910"/>
      <w:bookmarkStart w:id="2" w:name="_Toc374105112"/>
      <w:r>
        <w:rPr>
          <w:rFonts w:hint="eastAsia" w:ascii="Arial" w:cs="Arial"/>
          <w:sz w:val="22"/>
        </w:rPr>
        <w:t>自本合同项下产品交付至甲方之日起，甲方及其关联公司（包括但不仅限于其母公司、子公司、同为同一主体控股之下的公司等）</w:t>
      </w:r>
      <w:bookmarkEnd w:id="0"/>
      <w:bookmarkEnd w:id="1"/>
      <w:r>
        <w:rPr>
          <w:rFonts w:hint="eastAsia" w:ascii="Arial" w:cs="Arial"/>
          <w:sz w:val="22"/>
        </w:rPr>
        <w:t>即获得合同项下产品享有的标准服务。</w:t>
      </w:r>
      <w:bookmarkEnd w:id="2"/>
    </w:p>
    <w:p>
      <w:pPr>
        <w:numPr>
          <w:ilvl w:val="0"/>
          <w:numId w:val="2"/>
        </w:numPr>
        <w:tabs>
          <w:tab w:val="left" w:pos="840"/>
          <w:tab w:val="clear" w:pos="1680"/>
        </w:tabs>
        <w:spacing w:beforeLines="30"/>
        <w:ind w:left="1678" w:hanging="1678"/>
        <w:jc w:val="left"/>
        <w:outlineLvl w:val="0"/>
        <w:rPr>
          <w:rFonts w:ascii="Arial" w:hAnsi="Arial" w:cs="Arial"/>
          <w:b/>
          <w:sz w:val="22"/>
        </w:rPr>
      </w:pPr>
      <w:r>
        <w:rPr>
          <w:rFonts w:ascii="Arial" w:cs="Arial"/>
          <w:b/>
          <w:sz w:val="22"/>
        </w:rPr>
        <w:t>交货</w:t>
      </w:r>
    </w:p>
    <w:p>
      <w:pPr>
        <w:numPr>
          <w:ilvl w:val="1"/>
          <w:numId w:val="2"/>
        </w:numPr>
        <w:tabs>
          <w:tab w:val="left" w:pos="360"/>
        </w:tabs>
        <w:spacing w:beforeLines="10"/>
        <w:ind w:left="357" w:hanging="357"/>
        <w:jc w:val="left"/>
        <w:rPr>
          <w:sz w:val="22"/>
        </w:rPr>
      </w:pPr>
      <w:r>
        <w:rPr>
          <w:rFonts w:ascii="Arial" w:cs="Arial"/>
          <w:sz w:val="22"/>
        </w:rPr>
        <w:t>交货</w:t>
      </w:r>
      <w:r>
        <w:rPr>
          <w:rFonts w:ascii="Arial" w:hAnsi="Arial" w:cs="Arial"/>
          <w:sz w:val="22"/>
        </w:rPr>
        <w:t>日期：</w:t>
      </w:r>
      <w:r>
        <w:rPr>
          <w:rFonts w:hint="eastAsia" w:ascii="Arial" w:hAnsi="Arial" w:cs="Arial"/>
          <w:sz w:val="22"/>
        </w:rPr>
        <w:t>下单后5个工作日内提供。</w:t>
      </w:r>
      <w:r>
        <w:rPr>
          <w:rFonts w:hint="eastAsia"/>
          <w:sz w:val="22"/>
        </w:rPr>
        <w:t>乙方逾期交货，每逾期一天，甲方有权向乙方按本合同金额3‰/天的标准收取违约金。甲方逾期付款的，每逾期一天，乙方有权向甲方按本合同金额3‰/天的标准收取违约金。</w:t>
      </w:r>
    </w:p>
    <w:p>
      <w:pPr>
        <w:numPr>
          <w:ilvl w:val="1"/>
          <w:numId w:val="2"/>
        </w:numPr>
        <w:tabs>
          <w:tab w:val="left" w:pos="360"/>
        </w:tabs>
        <w:spacing w:beforeLines="10"/>
        <w:ind w:left="357" w:hanging="357"/>
        <w:jc w:val="left"/>
        <w:rPr>
          <w:rFonts w:ascii="Arial" w:hAnsi="Arial" w:cs="Arial"/>
          <w:sz w:val="22"/>
        </w:rPr>
      </w:pPr>
      <w:r>
        <w:rPr>
          <w:rFonts w:ascii="Arial" w:cs="Arial"/>
          <w:sz w:val="22"/>
        </w:rPr>
        <w:t>交货地点</w:t>
      </w:r>
      <w:r>
        <w:rPr>
          <w:rFonts w:hint="eastAsia" w:ascii="Arial" w:cs="Arial"/>
          <w:sz w:val="22"/>
        </w:rPr>
        <w:t>，甲方</w:t>
      </w:r>
      <w:r>
        <w:rPr>
          <w:rFonts w:ascii="Arial" w:cs="Arial"/>
          <w:sz w:val="22"/>
        </w:rPr>
        <w:t>指定交货地点：</w:t>
      </w:r>
      <w:permStart w:id="3" w:edGrp="everyone"/>
      <w:r>
        <w:rPr>
          <w:rFonts w:hint="eastAsia" w:ascii="Arial" w:cs="Arial"/>
          <w:sz w:val="22"/>
          <w:u w:val="single"/>
        </w:rPr>
        <w:t xml:space="preserve">   成都市温江区温泉大道4段218号    </w:t>
      </w:r>
      <w:permEnd w:id="3"/>
      <w:r>
        <w:rPr>
          <w:rFonts w:ascii="Arial" w:cs="Arial"/>
          <w:sz w:val="22"/>
        </w:rPr>
        <w:t>，运输费用元由</w:t>
      </w:r>
      <w:permStart w:id="4" w:edGrp="everyone"/>
      <w:r>
        <w:rPr>
          <w:rFonts w:hint="eastAsia" w:ascii="Arial" w:cs="Arial"/>
          <w:sz w:val="22"/>
          <w:u w:val="single"/>
        </w:rPr>
        <w:t xml:space="preserve">  乙  </w:t>
      </w:r>
      <w:permEnd w:id="4"/>
      <w:r>
        <w:rPr>
          <w:rFonts w:ascii="Arial" w:cs="Arial"/>
          <w:sz w:val="22"/>
        </w:rPr>
        <w:t>方承担。</w:t>
      </w:r>
    </w:p>
    <w:p>
      <w:pPr>
        <w:numPr>
          <w:ilvl w:val="1"/>
          <w:numId w:val="2"/>
        </w:numPr>
        <w:tabs>
          <w:tab w:val="left" w:pos="360"/>
        </w:tabs>
        <w:spacing w:beforeLines="10"/>
        <w:ind w:left="357" w:hanging="357"/>
        <w:jc w:val="left"/>
        <w:rPr>
          <w:rFonts w:ascii="Arial" w:hAnsi="Arial" w:cs="Arial"/>
          <w:sz w:val="22"/>
        </w:rPr>
      </w:pPr>
      <w:r>
        <w:rPr>
          <w:rFonts w:hint="eastAsia" w:ascii="Arial" w:cs="Arial"/>
          <w:sz w:val="22"/>
        </w:rPr>
        <w:t>乙方</w:t>
      </w:r>
      <w:r>
        <w:rPr>
          <w:rFonts w:ascii="Arial" w:cs="Arial"/>
          <w:sz w:val="22"/>
        </w:rPr>
        <w:t>将商品</w:t>
      </w:r>
      <w:r>
        <w:rPr>
          <w:rFonts w:hint="eastAsia" w:ascii="Arial" w:cs="Arial"/>
          <w:b/>
          <w:sz w:val="22"/>
        </w:rPr>
        <w:t>一次性</w:t>
      </w:r>
      <w:r>
        <w:rPr>
          <w:rFonts w:ascii="Arial" w:cs="Arial"/>
          <w:sz w:val="22"/>
        </w:rPr>
        <w:t>交至交货地点后，由</w:t>
      </w:r>
      <w:r>
        <w:rPr>
          <w:rFonts w:hint="eastAsia" w:ascii="Arial" w:cs="Arial"/>
          <w:sz w:val="22"/>
        </w:rPr>
        <w:t>甲方</w:t>
      </w:r>
      <w:r>
        <w:rPr>
          <w:rFonts w:ascii="Arial" w:cs="Arial"/>
          <w:sz w:val="22"/>
        </w:rPr>
        <w:t>对商品进行清点、验收及签收。商品风险在</w:t>
      </w:r>
      <w:r>
        <w:rPr>
          <w:rFonts w:hint="eastAsia" w:ascii="Arial" w:cs="Arial"/>
          <w:sz w:val="22"/>
        </w:rPr>
        <w:t>乙方</w:t>
      </w:r>
      <w:r>
        <w:rPr>
          <w:rFonts w:ascii="Arial" w:cs="Arial"/>
          <w:sz w:val="22"/>
        </w:rPr>
        <w:t>交至交货地点</w:t>
      </w:r>
      <w:r>
        <w:rPr>
          <w:rFonts w:hint="eastAsia" w:ascii="Arial" w:cs="Arial"/>
          <w:sz w:val="22"/>
        </w:rPr>
        <w:t>并</w:t>
      </w:r>
      <w:r>
        <w:rPr>
          <w:rFonts w:ascii="Arial" w:cs="Arial"/>
          <w:sz w:val="22"/>
        </w:rPr>
        <w:t>由</w:t>
      </w:r>
      <w:r>
        <w:rPr>
          <w:rFonts w:hint="eastAsia" w:ascii="Arial" w:cs="Arial"/>
          <w:sz w:val="22"/>
        </w:rPr>
        <w:t>甲方</w:t>
      </w:r>
      <w:r>
        <w:rPr>
          <w:rFonts w:ascii="Arial" w:cs="Arial"/>
          <w:sz w:val="22"/>
        </w:rPr>
        <w:t>进行清点、验收及签收后转移给</w:t>
      </w:r>
      <w:r>
        <w:rPr>
          <w:rFonts w:hint="eastAsia" w:ascii="Arial" w:cs="Arial"/>
          <w:sz w:val="22"/>
        </w:rPr>
        <w:t>甲方</w:t>
      </w:r>
      <w:r>
        <w:rPr>
          <w:rFonts w:ascii="Arial" w:cs="Arial"/>
          <w:sz w:val="22"/>
        </w:rPr>
        <w:t>。</w:t>
      </w:r>
    </w:p>
    <w:p>
      <w:pPr>
        <w:numPr>
          <w:ilvl w:val="1"/>
          <w:numId w:val="2"/>
        </w:numPr>
        <w:tabs>
          <w:tab w:val="left" w:pos="360"/>
        </w:tabs>
        <w:spacing w:beforeLines="10"/>
        <w:ind w:left="357" w:hanging="357"/>
        <w:jc w:val="left"/>
        <w:rPr>
          <w:rFonts w:ascii="Arial" w:hAnsi="Arial" w:cs="Arial"/>
          <w:sz w:val="22"/>
        </w:rPr>
      </w:pPr>
      <w:r>
        <w:rPr>
          <w:rFonts w:ascii="Arial" w:cs="Arial"/>
          <w:sz w:val="22"/>
        </w:rPr>
        <w:t>若</w:t>
      </w:r>
      <w:r>
        <w:rPr>
          <w:rFonts w:hint="eastAsia" w:ascii="Arial" w:cs="Arial"/>
          <w:sz w:val="22"/>
        </w:rPr>
        <w:t>乙方</w:t>
      </w:r>
      <w:r>
        <w:rPr>
          <w:rFonts w:ascii="Arial" w:cs="Arial"/>
          <w:sz w:val="22"/>
        </w:rPr>
        <w:t>已将商品运抵交货地点，但因</w:t>
      </w:r>
      <w:r>
        <w:rPr>
          <w:rFonts w:hint="eastAsia" w:ascii="Arial" w:cs="Arial"/>
          <w:sz w:val="22"/>
        </w:rPr>
        <w:t>甲方</w:t>
      </w:r>
      <w:r>
        <w:rPr>
          <w:rFonts w:ascii="Arial" w:cs="Arial"/>
          <w:sz w:val="22"/>
        </w:rPr>
        <w:t>原因不能收货以致</w:t>
      </w:r>
      <w:r>
        <w:rPr>
          <w:rFonts w:hint="eastAsia" w:ascii="Arial" w:cs="Arial"/>
          <w:sz w:val="22"/>
        </w:rPr>
        <w:t>乙方</w:t>
      </w:r>
      <w:r>
        <w:rPr>
          <w:rFonts w:ascii="Arial" w:cs="Arial"/>
          <w:sz w:val="22"/>
        </w:rPr>
        <w:t>将商品运回，</w:t>
      </w:r>
      <w:r>
        <w:rPr>
          <w:rFonts w:hint="eastAsia" w:ascii="Arial" w:cs="Arial"/>
          <w:sz w:val="22"/>
        </w:rPr>
        <w:t>甲方</w:t>
      </w:r>
      <w:r>
        <w:rPr>
          <w:rFonts w:ascii="Arial" w:cs="Arial"/>
          <w:sz w:val="22"/>
        </w:rPr>
        <w:t>需赔偿</w:t>
      </w:r>
      <w:r>
        <w:rPr>
          <w:rFonts w:hint="eastAsia" w:ascii="Arial" w:cs="Arial"/>
          <w:sz w:val="22"/>
        </w:rPr>
        <w:t>乙</w:t>
      </w:r>
      <w:r>
        <w:rPr>
          <w:rFonts w:ascii="Arial" w:cs="Arial"/>
          <w:sz w:val="22"/>
        </w:rPr>
        <w:t>方的运输费用（如有）及人员费用损失。</w:t>
      </w:r>
    </w:p>
    <w:p>
      <w:pPr>
        <w:numPr>
          <w:ilvl w:val="1"/>
          <w:numId w:val="2"/>
        </w:numPr>
        <w:tabs>
          <w:tab w:val="left" w:pos="360"/>
          <w:tab w:val="left" w:pos="720"/>
        </w:tabs>
        <w:spacing w:beforeLines="10"/>
        <w:ind w:left="357" w:hanging="357"/>
        <w:jc w:val="left"/>
        <w:rPr>
          <w:rFonts w:ascii="Arial" w:hAnsi="Arial" w:cs="Arial"/>
          <w:sz w:val="22"/>
        </w:rPr>
      </w:pPr>
      <w:r>
        <w:rPr>
          <w:rFonts w:ascii="Arial" w:cs="Arial"/>
          <w:sz w:val="22"/>
        </w:rPr>
        <w:t>由于不可抗力或</w:t>
      </w:r>
      <w:r>
        <w:rPr>
          <w:rFonts w:hint="eastAsia" w:ascii="Arial" w:cs="Arial"/>
          <w:sz w:val="22"/>
        </w:rPr>
        <w:t>乙方</w:t>
      </w:r>
      <w:r>
        <w:rPr>
          <w:rFonts w:ascii="Arial" w:cs="Arial"/>
          <w:sz w:val="22"/>
        </w:rPr>
        <w:t>不能控制的因素导致</w:t>
      </w:r>
      <w:r>
        <w:rPr>
          <w:rFonts w:hint="eastAsia" w:ascii="Arial" w:cs="Arial"/>
          <w:sz w:val="22"/>
        </w:rPr>
        <w:t>乙方</w:t>
      </w:r>
      <w:r>
        <w:rPr>
          <w:rFonts w:ascii="Arial" w:cs="Arial"/>
          <w:sz w:val="22"/>
        </w:rPr>
        <w:t>未按时交货的（如国家法规的改变，自然灾害等），</w:t>
      </w:r>
      <w:r>
        <w:rPr>
          <w:rFonts w:hint="eastAsia" w:ascii="Arial" w:cs="Arial"/>
          <w:sz w:val="22"/>
        </w:rPr>
        <w:t>乙方</w:t>
      </w:r>
      <w:r>
        <w:rPr>
          <w:rFonts w:ascii="Arial" w:cs="Arial"/>
          <w:sz w:val="22"/>
        </w:rPr>
        <w:t>可免责，具体交货时间由双方另行商定。</w:t>
      </w:r>
    </w:p>
    <w:p>
      <w:pPr>
        <w:numPr>
          <w:ilvl w:val="1"/>
          <w:numId w:val="2"/>
        </w:numPr>
        <w:tabs>
          <w:tab w:val="left" w:pos="360"/>
          <w:tab w:val="left" w:pos="720"/>
        </w:tabs>
        <w:spacing w:beforeLines="10"/>
        <w:ind w:left="357" w:hanging="357"/>
        <w:jc w:val="left"/>
        <w:rPr>
          <w:rFonts w:ascii="Arial" w:hAnsi="Arial" w:cs="Arial"/>
          <w:sz w:val="22"/>
        </w:rPr>
      </w:pPr>
      <w:r>
        <w:rPr>
          <w:rFonts w:hint="eastAsia" w:ascii="Arial" w:cs="Arial"/>
          <w:sz w:val="22"/>
        </w:rPr>
        <w:t>甲方</w:t>
      </w:r>
      <w:r>
        <w:rPr>
          <w:rFonts w:ascii="Arial" w:cs="Arial"/>
          <w:sz w:val="22"/>
        </w:rPr>
        <w:t>收货后</w:t>
      </w:r>
      <w:r>
        <w:rPr>
          <w:rFonts w:hint="eastAsia" w:ascii="Arial" w:cs="Arial"/>
          <w:sz w:val="22"/>
        </w:rPr>
        <w:t>若</w:t>
      </w:r>
      <w:r>
        <w:rPr>
          <w:rFonts w:ascii="Arial" w:cs="Arial"/>
          <w:sz w:val="22"/>
        </w:rPr>
        <w:t>发现商品有质量问题的，可</w:t>
      </w:r>
      <w:r>
        <w:rPr>
          <w:rFonts w:hint="eastAsia" w:ascii="Arial" w:cs="Arial"/>
          <w:sz w:val="22"/>
        </w:rPr>
        <w:t>与乙方联系</w:t>
      </w:r>
      <w:r>
        <w:rPr>
          <w:rFonts w:ascii="Arial" w:cs="Arial"/>
          <w:sz w:val="22"/>
        </w:rPr>
        <w:t>，</w:t>
      </w:r>
      <w:r>
        <w:rPr>
          <w:rFonts w:hint="eastAsia" w:ascii="Arial" w:cs="Arial"/>
          <w:sz w:val="22"/>
        </w:rPr>
        <w:t>由乙方</w:t>
      </w:r>
      <w:r>
        <w:rPr>
          <w:rFonts w:ascii="Arial" w:cs="Arial"/>
          <w:sz w:val="22"/>
        </w:rPr>
        <w:t>进行</w:t>
      </w:r>
      <w:r>
        <w:rPr>
          <w:rFonts w:hint="eastAsia" w:ascii="Arial" w:cs="Arial"/>
          <w:sz w:val="22"/>
        </w:rPr>
        <w:t>退换货</w:t>
      </w:r>
      <w:r>
        <w:rPr>
          <w:rFonts w:ascii="Arial" w:cs="Arial"/>
          <w:sz w:val="22"/>
        </w:rPr>
        <w:t>处理</w:t>
      </w:r>
      <w:r>
        <w:rPr>
          <w:rFonts w:hint="eastAsia" w:ascii="Arial" w:cs="Arial"/>
          <w:sz w:val="22"/>
        </w:rPr>
        <w:t>，同时乙方应赔偿由此给甲方造成的损失</w:t>
      </w:r>
      <w:r>
        <w:rPr>
          <w:rFonts w:ascii="Arial" w:cs="Arial"/>
          <w:sz w:val="22"/>
        </w:rPr>
        <w:t>。</w:t>
      </w:r>
    </w:p>
    <w:p>
      <w:pPr>
        <w:tabs>
          <w:tab w:val="left" w:pos="1680"/>
          <w:tab w:val="left" w:pos="3600"/>
        </w:tabs>
        <w:spacing w:beforeLines="10"/>
        <w:ind w:left="357"/>
        <w:jc w:val="left"/>
        <w:rPr>
          <w:rFonts w:ascii="Arial" w:hAnsi="Arial" w:cs="Arial"/>
          <w:sz w:val="22"/>
        </w:rPr>
      </w:pPr>
    </w:p>
    <w:p>
      <w:pPr>
        <w:numPr>
          <w:ilvl w:val="0"/>
          <w:numId w:val="2"/>
        </w:numPr>
        <w:tabs>
          <w:tab w:val="left" w:pos="840"/>
          <w:tab w:val="clear" w:pos="1680"/>
        </w:tabs>
        <w:spacing w:beforeLines="30"/>
        <w:ind w:left="1678" w:hanging="1678"/>
        <w:jc w:val="left"/>
        <w:outlineLvl w:val="0"/>
        <w:rPr>
          <w:rFonts w:ascii="Arial" w:hAnsi="Arial" w:cs="Arial"/>
          <w:b/>
          <w:sz w:val="22"/>
        </w:rPr>
      </w:pPr>
      <w:r>
        <w:rPr>
          <w:rFonts w:ascii="Arial" w:cs="Arial"/>
          <w:b/>
          <w:sz w:val="22"/>
        </w:rPr>
        <w:t>付款</w:t>
      </w:r>
    </w:p>
    <w:p>
      <w:pPr>
        <w:numPr>
          <w:ilvl w:val="1"/>
          <w:numId w:val="2"/>
        </w:numPr>
        <w:tabs>
          <w:tab w:val="left" w:pos="360"/>
        </w:tabs>
        <w:spacing w:beforeLines="10"/>
        <w:ind w:left="357" w:hanging="357"/>
        <w:jc w:val="left"/>
        <w:rPr>
          <w:rFonts w:ascii="Arial" w:cs="Arial"/>
          <w:sz w:val="22"/>
        </w:rPr>
      </w:pPr>
      <w:r>
        <w:rPr>
          <w:rFonts w:ascii="Arial" w:cs="Arial"/>
          <w:sz w:val="22"/>
        </w:rPr>
        <w:t>本合同以人民币结算，双方选择下列第</w:t>
      </w:r>
      <w:bookmarkStart w:id="3" w:name="Text13"/>
      <w:permStart w:id="5" w:edGrp="everyone"/>
      <w:r>
        <w:rPr>
          <w:rFonts w:hint="eastAsia" w:ascii="Arial" w:cs="Arial"/>
          <w:sz w:val="22"/>
          <w:u w:val="single"/>
        </w:rPr>
        <w:t xml:space="preserve">  b  </w:t>
      </w:r>
      <w:bookmarkEnd w:id="3"/>
      <w:permEnd w:id="5"/>
      <w:r>
        <w:rPr>
          <w:rFonts w:ascii="Arial" w:cs="Arial"/>
          <w:sz w:val="22"/>
        </w:rPr>
        <w:t>项付款方式</w:t>
      </w:r>
      <w:r>
        <w:rPr>
          <w:rFonts w:hint="eastAsia" w:ascii="Arial" w:cs="Arial"/>
          <w:sz w:val="22"/>
        </w:rPr>
        <w:t xml:space="preserve">，并甲方以□现金 </w:t>
      </w:r>
      <w:r>
        <w:rPr>
          <w:rFonts w:hint="eastAsia" w:ascii="宋体" w:hAnsi="宋体" w:cs="Arial"/>
          <w:sz w:val="22"/>
        </w:rPr>
        <w:t>■</w:t>
      </w:r>
      <w:r>
        <w:rPr>
          <w:rFonts w:hint="eastAsia" w:ascii="Arial" w:cs="Arial"/>
          <w:sz w:val="22"/>
        </w:rPr>
        <w:t>银行转账的方式支付</w:t>
      </w:r>
      <w:r>
        <w:rPr>
          <w:rFonts w:ascii="Arial" w:cs="Arial"/>
          <w:sz w:val="22"/>
        </w:rPr>
        <w:t>：</w:t>
      </w:r>
    </w:p>
    <w:p>
      <w:pPr>
        <w:numPr>
          <w:ilvl w:val="2"/>
          <w:numId w:val="2"/>
        </w:numPr>
        <w:tabs>
          <w:tab w:val="left" w:pos="720"/>
          <w:tab w:val="left" w:pos="3600"/>
        </w:tabs>
        <w:ind w:left="714" w:hanging="357"/>
        <w:jc w:val="left"/>
        <w:rPr>
          <w:rFonts w:ascii="Arial" w:hAnsi="Arial" w:cs="Arial"/>
          <w:sz w:val="22"/>
        </w:rPr>
      </w:pPr>
      <w:r>
        <w:rPr>
          <w:rFonts w:ascii="Arial" w:hAnsi="Arial" w:cs="Arial"/>
          <w:sz w:val="22"/>
        </w:rPr>
        <w:t>签订合同</w:t>
      </w:r>
      <w:r>
        <w:rPr>
          <w:rFonts w:hint="eastAsia" w:ascii="Arial" w:hAnsi="Arial" w:cs="Arial"/>
          <w:sz w:val="22"/>
        </w:rPr>
        <w:t>后</w:t>
      </w:r>
      <w:r>
        <w:rPr>
          <w:rFonts w:ascii="Arial" w:hAnsi="Arial" w:cs="Arial"/>
          <w:sz w:val="22"/>
        </w:rPr>
        <w:t>，</w:t>
      </w:r>
      <w:r>
        <w:rPr>
          <w:rFonts w:hint="eastAsia" w:ascii="Arial" w:hAnsi="Arial" w:cs="Arial"/>
          <w:sz w:val="22"/>
        </w:rPr>
        <w:t>甲方</w:t>
      </w:r>
      <w:r>
        <w:rPr>
          <w:rFonts w:ascii="Arial" w:hAnsi="Arial" w:cs="Arial"/>
          <w:sz w:val="22"/>
        </w:rPr>
        <w:t>支付合同总价款的</w:t>
      </w:r>
      <w:permStart w:id="6" w:edGrp="everyone"/>
      <w:r>
        <w:rPr>
          <w:rFonts w:hint="eastAsia" w:ascii="Arial" w:hAnsi="Arial" w:cs="Arial"/>
          <w:sz w:val="22"/>
          <w:u w:val="single"/>
        </w:rPr>
        <w:t xml:space="preserve">   /   </w:t>
      </w:r>
      <w:permEnd w:id="6"/>
      <w:r>
        <w:rPr>
          <w:rFonts w:ascii="Arial" w:hAnsi="Arial" w:cs="Arial"/>
          <w:sz w:val="22"/>
        </w:rPr>
        <w:t>%作为</w:t>
      </w:r>
      <w:r>
        <w:rPr>
          <w:rFonts w:hint="eastAsia" w:ascii="Arial" w:hAnsi="Arial" w:cs="Arial"/>
          <w:sz w:val="22"/>
        </w:rPr>
        <w:t>预付款</w:t>
      </w:r>
      <w:r>
        <w:rPr>
          <w:rFonts w:ascii="Arial" w:hAnsi="Arial" w:cs="Arial"/>
          <w:sz w:val="22"/>
        </w:rPr>
        <w:t>，即人民币</w:t>
      </w:r>
      <w:permStart w:id="7" w:edGrp="everyone"/>
      <w:r>
        <w:rPr>
          <w:rFonts w:hint="eastAsia" w:ascii="Arial" w:hAnsi="Arial" w:cs="Arial"/>
          <w:sz w:val="22"/>
          <w:u w:val="single"/>
        </w:rPr>
        <w:t xml:space="preserve">  /   </w:t>
      </w:r>
      <w:permEnd w:id="7"/>
      <w:r>
        <w:rPr>
          <w:rFonts w:ascii="Arial" w:hAnsi="Arial" w:cs="Arial"/>
          <w:sz w:val="22"/>
        </w:rPr>
        <w:t>。商品签收后，</w:t>
      </w:r>
      <w:r>
        <w:rPr>
          <w:rFonts w:hint="eastAsia" w:ascii="Arial" w:hAnsi="Arial" w:cs="Arial"/>
          <w:sz w:val="22"/>
        </w:rPr>
        <w:t>甲方即刻</w:t>
      </w:r>
      <w:r>
        <w:rPr>
          <w:rFonts w:ascii="Arial" w:hAnsi="Arial" w:cs="Arial"/>
          <w:sz w:val="22"/>
        </w:rPr>
        <w:t>支付其余</w:t>
      </w:r>
      <w:permStart w:id="8" w:edGrp="everyone"/>
      <w:r>
        <w:rPr>
          <w:rFonts w:hint="eastAsia" w:ascii="Arial" w:hAnsi="Arial" w:cs="Arial"/>
          <w:sz w:val="22"/>
          <w:u w:val="single"/>
        </w:rPr>
        <w:t xml:space="preserve">    /   </w:t>
      </w:r>
      <w:permEnd w:id="8"/>
      <w:r>
        <w:rPr>
          <w:rFonts w:ascii="Arial" w:hAnsi="Arial" w:cs="Arial"/>
          <w:sz w:val="22"/>
        </w:rPr>
        <w:t>%和</w:t>
      </w:r>
      <w:permStart w:id="9" w:edGrp="everyone"/>
      <w:r>
        <w:rPr>
          <w:rFonts w:hint="eastAsia" w:ascii="Arial" w:hAnsi="Arial" w:cs="Arial"/>
          <w:sz w:val="22"/>
          <w:u w:val="single"/>
        </w:rPr>
        <w:t xml:space="preserve">  /   </w:t>
      </w:r>
      <w:permEnd w:id="9"/>
      <w:r>
        <w:rPr>
          <w:rFonts w:ascii="Arial" w:hAnsi="Arial" w:cs="Arial"/>
          <w:sz w:val="22"/>
        </w:rPr>
        <w:t>元运费，即人民币</w:t>
      </w:r>
      <w:permStart w:id="10" w:edGrp="everyone"/>
      <w:r>
        <w:rPr>
          <w:rFonts w:hint="eastAsia" w:ascii="Arial" w:hAnsi="Arial" w:cs="Arial"/>
          <w:sz w:val="22"/>
          <w:u w:val="single"/>
        </w:rPr>
        <w:t xml:space="preserve">  /   </w:t>
      </w:r>
      <w:permEnd w:id="10"/>
      <w:r>
        <w:rPr>
          <w:rFonts w:ascii="Arial" w:hAnsi="Arial" w:cs="Arial"/>
          <w:sz w:val="22"/>
        </w:rPr>
        <w:t>。</w:t>
      </w:r>
    </w:p>
    <w:p>
      <w:pPr>
        <w:numPr>
          <w:ilvl w:val="2"/>
          <w:numId w:val="2"/>
        </w:numPr>
        <w:tabs>
          <w:tab w:val="left" w:pos="720"/>
          <w:tab w:val="left" w:pos="3600"/>
        </w:tabs>
        <w:ind w:left="714" w:hanging="357"/>
        <w:jc w:val="left"/>
        <w:rPr>
          <w:rFonts w:ascii="Arial" w:hAnsi="Arial" w:cs="Arial"/>
          <w:sz w:val="22"/>
        </w:rPr>
      </w:pPr>
      <w:r>
        <w:rPr>
          <w:rFonts w:ascii="Arial" w:cs="Arial"/>
          <w:sz w:val="22"/>
        </w:rPr>
        <w:t>货到付款：</w:t>
      </w:r>
      <w:r>
        <w:rPr>
          <w:rFonts w:hint="eastAsia" w:ascii="Arial" w:cs="Arial"/>
          <w:sz w:val="22"/>
        </w:rPr>
        <w:t>乙方</w:t>
      </w:r>
      <w:r>
        <w:rPr>
          <w:rFonts w:ascii="Arial" w:cs="Arial"/>
          <w:sz w:val="22"/>
        </w:rPr>
        <w:t>将货交至交货地点并经</w:t>
      </w:r>
      <w:r>
        <w:rPr>
          <w:rFonts w:hint="eastAsia" w:ascii="Arial" w:cs="Arial"/>
          <w:sz w:val="22"/>
        </w:rPr>
        <w:t>甲方全部</w:t>
      </w:r>
      <w:r>
        <w:rPr>
          <w:rFonts w:ascii="Arial" w:cs="Arial"/>
          <w:sz w:val="22"/>
        </w:rPr>
        <w:t>验收后</w:t>
      </w:r>
      <w:r>
        <w:rPr>
          <w:rFonts w:hint="eastAsia" w:ascii="Arial" w:cs="Arial"/>
          <w:sz w:val="22"/>
        </w:rPr>
        <w:t>，由乙方向甲方开具全额正规发票。甲方在收到乙方正规商业发票后的十个工作日内</w:t>
      </w:r>
      <w:r>
        <w:rPr>
          <w:rFonts w:ascii="Arial" w:cs="Arial"/>
          <w:sz w:val="22"/>
        </w:rPr>
        <w:t>付款</w:t>
      </w:r>
      <w:r>
        <w:rPr>
          <w:rFonts w:hint="eastAsia" w:ascii="Arial" w:cs="Arial"/>
          <w:sz w:val="22"/>
        </w:rPr>
        <w:t>。</w:t>
      </w:r>
    </w:p>
    <w:p>
      <w:pPr>
        <w:numPr>
          <w:ilvl w:val="2"/>
          <w:numId w:val="2"/>
        </w:numPr>
        <w:tabs>
          <w:tab w:val="left" w:pos="720"/>
          <w:tab w:val="left" w:pos="3600"/>
        </w:tabs>
        <w:ind w:left="714" w:hanging="357"/>
        <w:jc w:val="left"/>
        <w:rPr>
          <w:rFonts w:ascii="Arial" w:hAnsi="Arial" w:cs="Arial"/>
          <w:sz w:val="22"/>
        </w:rPr>
      </w:pPr>
      <w:r>
        <w:rPr>
          <w:rFonts w:ascii="Arial" w:hAnsi="Arial" w:cs="Arial"/>
          <w:sz w:val="22"/>
        </w:rPr>
        <w:t>款到发货：</w:t>
      </w:r>
      <w:r>
        <w:rPr>
          <w:rFonts w:hint="eastAsia" w:ascii="Arial" w:hAnsi="Arial" w:cs="Arial"/>
          <w:sz w:val="22"/>
        </w:rPr>
        <w:t>乙方</w:t>
      </w:r>
      <w:r>
        <w:rPr>
          <w:rFonts w:ascii="Arial" w:hAnsi="Arial" w:cs="Arial"/>
          <w:sz w:val="22"/>
        </w:rPr>
        <w:t>在收到</w:t>
      </w:r>
      <w:r>
        <w:rPr>
          <w:rFonts w:hint="eastAsia" w:ascii="Arial" w:hAnsi="Arial" w:cs="Arial"/>
          <w:sz w:val="22"/>
        </w:rPr>
        <w:t>甲方</w:t>
      </w:r>
      <w:r>
        <w:rPr>
          <w:rFonts w:ascii="Arial" w:hAnsi="Arial" w:cs="Arial"/>
          <w:sz w:val="22"/>
        </w:rPr>
        <w:t>货款并确认无误后，按本合同约定的日期发货到</w:t>
      </w:r>
      <w:r>
        <w:rPr>
          <w:rFonts w:hint="eastAsia" w:ascii="Arial" w:hAnsi="Arial" w:cs="Arial"/>
          <w:sz w:val="22"/>
        </w:rPr>
        <w:t>甲</w:t>
      </w:r>
      <w:r>
        <w:rPr>
          <w:rFonts w:ascii="Arial" w:hAnsi="Arial" w:cs="Arial"/>
          <w:sz w:val="22"/>
        </w:rPr>
        <w:t>方指定交货地点。</w:t>
      </w:r>
    </w:p>
    <w:p>
      <w:pPr>
        <w:numPr>
          <w:ilvl w:val="2"/>
          <w:numId w:val="2"/>
        </w:numPr>
        <w:tabs>
          <w:tab w:val="left" w:pos="720"/>
          <w:tab w:val="left" w:pos="3600"/>
        </w:tabs>
        <w:ind w:left="714" w:hanging="357"/>
        <w:jc w:val="left"/>
        <w:rPr>
          <w:rFonts w:ascii="Arial" w:hAnsi="Arial" w:cs="Arial"/>
          <w:sz w:val="22"/>
        </w:rPr>
      </w:pPr>
      <w:r>
        <w:rPr>
          <w:rFonts w:hint="eastAsia" w:ascii="Arial" w:hAnsi="Arial" w:cs="Arial"/>
          <w:sz w:val="22"/>
        </w:rPr>
        <w:t>其他</w:t>
      </w:r>
      <w:r>
        <w:rPr>
          <w:rFonts w:hint="eastAsia"/>
        </w:rPr>
        <w:t>：</w:t>
      </w:r>
      <w:permStart w:id="11" w:edGrp="everyone"/>
      <w:r>
        <w:rPr>
          <w:rFonts w:hint="eastAsia"/>
          <w:u w:val="single"/>
        </w:rPr>
        <w:t xml:space="preserve">                  /                    </w:t>
      </w:r>
      <w:permEnd w:id="11"/>
      <w:r>
        <w:rPr>
          <w:rFonts w:hint="eastAsia"/>
        </w:rPr>
        <w:t xml:space="preserve"> </w:t>
      </w:r>
    </w:p>
    <w:p>
      <w:pPr>
        <w:numPr>
          <w:ilvl w:val="1"/>
          <w:numId w:val="2"/>
        </w:numPr>
        <w:tabs>
          <w:tab w:val="left" w:pos="360"/>
        </w:tabs>
        <w:spacing w:beforeLines="10"/>
        <w:ind w:left="357" w:hanging="357"/>
        <w:jc w:val="left"/>
        <w:rPr>
          <w:rFonts w:ascii="Arial" w:hAnsi="Arial" w:cs="Arial"/>
          <w:sz w:val="22"/>
        </w:rPr>
      </w:pPr>
      <w:r>
        <w:rPr>
          <w:rFonts w:hint="eastAsia" w:ascii="Arial" w:hAnsi="Arial" w:cs="Arial"/>
          <w:sz w:val="22"/>
        </w:rPr>
        <w:t>乙方</w:t>
      </w:r>
      <w:r>
        <w:rPr>
          <w:rFonts w:ascii="Arial" w:hAnsi="Arial" w:cs="Arial"/>
          <w:sz w:val="22"/>
        </w:rPr>
        <w:t>银行账号：</w:t>
      </w:r>
    </w:p>
    <w:p>
      <w:pPr>
        <w:ind w:firstLine="440" w:firstLineChars="200"/>
        <w:rPr>
          <w:rFonts w:ascii="Arial" w:cs="Arial"/>
          <w:sz w:val="22"/>
        </w:rPr>
      </w:pPr>
      <w:r>
        <w:rPr>
          <w:rFonts w:hint="eastAsia" w:ascii="Arial" w:cs="Arial"/>
          <w:sz w:val="22"/>
        </w:rPr>
        <w:t>户名：四川太极大药房连锁有限公司</w:t>
      </w:r>
    </w:p>
    <w:p>
      <w:pPr>
        <w:ind w:firstLine="440" w:firstLineChars="200"/>
        <w:rPr>
          <w:rFonts w:ascii="Arial" w:cs="Arial"/>
          <w:sz w:val="22"/>
        </w:rPr>
      </w:pPr>
      <w:r>
        <w:rPr>
          <w:rFonts w:hint="eastAsia" w:ascii="Arial" w:cs="Arial"/>
          <w:sz w:val="22"/>
        </w:rPr>
        <w:t>开户行：中国民生银行成都锦兴支行</w:t>
      </w:r>
    </w:p>
    <w:p>
      <w:pPr>
        <w:ind w:firstLine="440" w:firstLineChars="200"/>
        <w:rPr>
          <w:rFonts w:ascii="Arial" w:cs="Arial"/>
          <w:sz w:val="22"/>
        </w:rPr>
      </w:pPr>
      <w:r>
        <w:rPr>
          <w:rFonts w:hint="eastAsia" w:ascii="Arial" w:cs="Arial"/>
          <w:sz w:val="22"/>
        </w:rPr>
        <w:t>账号：2002 0141 4000 0112</w:t>
      </w:r>
    </w:p>
    <w:p>
      <w:pPr>
        <w:numPr>
          <w:ilvl w:val="0"/>
          <w:numId w:val="2"/>
        </w:numPr>
        <w:tabs>
          <w:tab w:val="left" w:pos="840"/>
          <w:tab w:val="clear" w:pos="1680"/>
        </w:tabs>
        <w:spacing w:beforeLines="30"/>
        <w:ind w:left="1678" w:hanging="1678"/>
        <w:jc w:val="left"/>
        <w:outlineLvl w:val="0"/>
        <w:rPr>
          <w:rFonts w:ascii="Arial" w:cs="Arial"/>
          <w:b/>
          <w:sz w:val="22"/>
        </w:rPr>
      </w:pPr>
      <w:r>
        <w:rPr>
          <w:rFonts w:ascii="Arial" w:cs="Arial"/>
          <w:b/>
          <w:sz w:val="22"/>
        </w:rPr>
        <w:t>知识产权</w:t>
      </w:r>
    </w:p>
    <w:p>
      <w:pPr>
        <w:numPr>
          <w:ilvl w:val="1"/>
          <w:numId w:val="2"/>
        </w:numPr>
        <w:tabs>
          <w:tab w:val="left" w:pos="360"/>
        </w:tabs>
        <w:spacing w:beforeLines="10"/>
        <w:ind w:left="357" w:hanging="357"/>
        <w:jc w:val="left"/>
        <w:rPr>
          <w:rFonts w:ascii="Arial" w:hAnsi="Arial" w:cs="Arial"/>
          <w:sz w:val="22"/>
        </w:rPr>
      </w:pPr>
      <w:r>
        <w:rPr>
          <w:rFonts w:ascii="Arial" w:hAnsi="Arial" w:cs="Arial"/>
          <w:sz w:val="22"/>
        </w:rPr>
        <w:t>本合同不授予任何一方使用他方商标、公司名称和服务标志的权利。</w:t>
      </w:r>
    </w:p>
    <w:p>
      <w:pPr>
        <w:numPr>
          <w:ilvl w:val="1"/>
          <w:numId w:val="2"/>
        </w:numPr>
        <w:tabs>
          <w:tab w:val="left" w:pos="360"/>
        </w:tabs>
        <w:spacing w:beforeLines="10"/>
        <w:ind w:left="357" w:hanging="357"/>
        <w:jc w:val="left"/>
        <w:rPr>
          <w:rFonts w:ascii="Arial" w:hAnsi="Arial" w:cs="Arial"/>
          <w:sz w:val="22"/>
        </w:rPr>
      </w:pPr>
      <w:r>
        <w:rPr>
          <w:rFonts w:ascii="Arial" w:hAnsi="Arial" w:cs="Arial"/>
          <w:sz w:val="22"/>
        </w:rPr>
        <w:t>乙方保证依本合同提供给甲方使用的产品不侵犯任何第三方的知识产权。</w:t>
      </w:r>
    </w:p>
    <w:p>
      <w:pPr>
        <w:tabs>
          <w:tab w:val="left" w:pos="3600"/>
        </w:tabs>
        <w:spacing w:beforeLines="10"/>
        <w:ind w:left="357"/>
        <w:jc w:val="left"/>
        <w:rPr>
          <w:rFonts w:ascii="Arial" w:hAnsi="Arial" w:cs="Arial"/>
          <w:sz w:val="22"/>
        </w:rPr>
      </w:pPr>
    </w:p>
    <w:p>
      <w:pPr>
        <w:numPr>
          <w:ilvl w:val="0"/>
          <w:numId w:val="2"/>
        </w:numPr>
        <w:tabs>
          <w:tab w:val="left" w:pos="840"/>
          <w:tab w:val="clear" w:pos="1680"/>
        </w:tabs>
        <w:spacing w:beforeLines="30"/>
        <w:ind w:left="1678" w:hanging="1678"/>
        <w:jc w:val="left"/>
        <w:outlineLvl w:val="0"/>
        <w:rPr>
          <w:rFonts w:ascii="Arial" w:hAnsi="Arial" w:cs="Arial"/>
          <w:b/>
          <w:sz w:val="22"/>
        </w:rPr>
      </w:pPr>
      <w:bookmarkStart w:id="4" w:name="_Toc53479437"/>
      <w:bookmarkStart w:id="5" w:name="_Toc288144012"/>
      <w:r>
        <w:rPr>
          <w:rFonts w:ascii="Arial" w:hAnsi="Arial" w:cs="Arial"/>
          <w:b/>
          <w:sz w:val="22"/>
        </w:rPr>
        <w:t>反商业贿赂条款</w:t>
      </w:r>
      <w:bookmarkEnd w:id="4"/>
      <w:bookmarkEnd w:id="5"/>
    </w:p>
    <w:p>
      <w:pPr>
        <w:numPr>
          <w:ilvl w:val="1"/>
          <w:numId w:val="2"/>
        </w:numPr>
        <w:tabs>
          <w:tab w:val="left" w:pos="360"/>
        </w:tabs>
        <w:spacing w:beforeLines="10"/>
        <w:ind w:left="357" w:hanging="357"/>
        <w:jc w:val="left"/>
        <w:rPr>
          <w:rFonts w:ascii="Arial" w:hAnsi="Arial" w:cs="Arial"/>
          <w:sz w:val="22"/>
        </w:rPr>
      </w:pPr>
      <w:r>
        <w:rPr>
          <w:rFonts w:ascii="Arial" w:hAnsi="Arial" w:cs="Arial"/>
          <w:sz w:val="22"/>
        </w:rPr>
        <w:t>甲乙双方都清楚并愿意严格遵守中华人民共和国反商业贿赂的法律规定，双方都清楚任何形式的贿赂和贪渎行为都将触犯法律，并将受到法律的严惩。</w:t>
      </w:r>
    </w:p>
    <w:p>
      <w:pPr>
        <w:numPr>
          <w:ilvl w:val="1"/>
          <w:numId w:val="2"/>
        </w:numPr>
        <w:tabs>
          <w:tab w:val="left" w:pos="360"/>
        </w:tabs>
        <w:spacing w:beforeLines="10"/>
        <w:ind w:left="357" w:hanging="357"/>
        <w:jc w:val="left"/>
        <w:rPr>
          <w:rFonts w:ascii="Arial" w:hAnsi="Arial" w:cs="Arial"/>
          <w:sz w:val="22"/>
        </w:rPr>
      </w:pPr>
      <w:r>
        <w:rPr>
          <w:rFonts w:ascii="Arial" w:hAnsi="Arial" w:cs="Arial"/>
          <w:sz w:val="22"/>
        </w:rPr>
        <w:t>甲方或乙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numPr>
          <w:ilvl w:val="1"/>
          <w:numId w:val="2"/>
        </w:numPr>
        <w:tabs>
          <w:tab w:val="left" w:pos="360"/>
        </w:tabs>
        <w:spacing w:beforeLines="10"/>
        <w:ind w:left="357" w:hanging="357"/>
        <w:jc w:val="left"/>
        <w:rPr>
          <w:rFonts w:ascii="Arial" w:hAnsi="Arial" w:cs="Arial"/>
          <w:sz w:val="22"/>
        </w:rPr>
      </w:pPr>
      <w:r>
        <w:rPr>
          <w:rFonts w:hint="eastAsia" w:ascii="Arial" w:hAnsi="Arial" w:cs="Arial"/>
          <w:sz w:val="22"/>
        </w:rPr>
        <w:t>甲方</w:t>
      </w:r>
      <w:r>
        <w:rPr>
          <w:rFonts w:ascii="Arial" w:hAnsi="Arial" w:cs="Arial"/>
          <w:sz w:val="22"/>
        </w:rPr>
        <w:t>严格禁止</w:t>
      </w:r>
      <w:r>
        <w:rPr>
          <w:rFonts w:hint="eastAsia" w:ascii="Arial" w:hAnsi="Arial" w:cs="Arial"/>
          <w:sz w:val="22"/>
        </w:rPr>
        <w:t>甲方</w:t>
      </w:r>
      <w:r>
        <w:rPr>
          <w:rFonts w:ascii="Arial" w:hAnsi="Arial" w:cs="Arial"/>
          <w:sz w:val="22"/>
        </w:rPr>
        <w:t>经办人员的任何商业贿赂行为。</w:t>
      </w:r>
      <w:r>
        <w:rPr>
          <w:rFonts w:hint="eastAsia" w:ascii="Arial" w:hAnsi="Arial" w:cs="Arial"/>
          <w:sz w:val="22"/>
        </w:rPr>
        <w:t>甲方</w:t>
      </w:r>
      <w:r>
        <w:rPr>
          <w:rFonts w:ascii="Arial" w:hAnsi="Arial" w:cs="Arial"/>
          <w:sz w:val="22"/>
        </w:rPr>
        <w:t>经办人发生本条第</w:t>
      </w:r>
      <w:r>
        <w:rPr>
          <w:rFonts w:hint="eastAsia" w:ascii="Arial" w:hAnsi="Arial" w:cs="Arial"/>
          <w:sz w:val="22"/>
        </w:rPr>
        <w:t>2</w:t>
      </w:r>
      <w:r>
        <w:rPr>
          <w:rFonts w:ascii="Arial" w:hAnsi="Arial" w:cs="Arial"/>
          <w:sz w:val="22"/>
        </w:rPr>
        <w:t>款所列示的任何一种行为，都是违反</w:t>
      </w:r>
      <w:r>
        <w:rPr>
          <w:rFonts w:hint="eastAsia" w:ascii="Arial" w:hAnsi="Arial" w:cs="Arial"/>
          <w:sz w:val="22"/>
        </w:rPr>
        <w:t>甲方</w:t>
      </w:r>
      <w:r>
        <w:rPr>
          <w:rFonts w:ascii="Arial" w:hAnsi="Arial" w:cs="Arial"/>
          <w:sz w:val="22"/>
        </w:rPr>
        <w:t>公司制度的，都将受到</w:t>
      </w:r>
      <w:r>
        <w:rPr>
          <w:rFonts w:hint="eastAsia" w:ascii="Arial" w:hAnsi="Arial" w:cs="Arial"/>
          <w:sz w:val="22"/>
        </w:rPr>
        <w:t>甲方</w:t>
      </w:r>
      <w:r>
        <w:rPr>
          <w:rFonts w:ascii="Arial" w:hAnsi="Arial" w:cs="Arial"/>
          <w:sz w:val="22"/>
        </w:rPr>
        <w:t>公司制度和国家法律的惩处。</w:t>
      </w:r>
    </w:p>
    <w:p>
      <w:pPr>
        <w:numPr>
          <w:ilvl w:val="1"/>
          <w:numId w:val="2"/>
        </w:numPr>
        <w:tabs>
          <w:tab w:val="left" w:pos="360"/>
        </w:tabs>
        <w:spacing w:beforeLines="10"/>
        <w:ind w:left="357" w:hanging="357"/>
        <w:jc w:val="left"/>
        <w:rPr>
          <w:rFonts w:ascii="Arial" w:hAnsi="Arial" w:cs="Arial"/>
          <w:sz w:val="22"/>
        </w:rPr>
      </w:pPr>
      <w:r>
        <w:rPr>
          <w:rFonts w:hint="eastAsia" w:ascii="Arial" w:hAnsi="Arial" w:cs="Arial"/>
          <w:sz w:val="22"/>
        </w:rPr>
        <w:t>甲方</w:t>
      </w:r>
      <w:r>
        <w:rPr>
          <w:rFonts w:ascii="Arial" w:hAnsi="Arial" w:cs="Arial"/>
          <w:sz w:val="22"/>
        </w:rPr>
        <w:t>郑重提示：</w:t>
      </w:r>
      <w:r>
        <w:rPr>
          <w:rFonts w:hint="eastAsia" w:ascii="Arial" w:hAnsi="Arial" w:cs="Arial"/>
          <w:sz w:val="22"/>
        </w:rPr>
        <w:t>甲方</w:t>
      </w:r>
      <w:r>
        <w:rPr>
          <w:rFonts w:ascii="Arial" w:hAnsi="Arial" w:cs="Arial"/>
          <w:sz w:val="22"/>
        </w:rPr>
        <w:t>反对</w:t>
      </w:r>
      <w:r>
        <w:rPr>
          <w:rFonts w:hint="eastAsia" w:ascii="Arial" w:hAnsi="Arial" w:cs="Arial"/>
          <w:sz w:val="22"/>
        </w:rPr>
        <w:t>甲</w:t>
      </w:r>
      <w:r>
        <w:rPr>
          <w:rFonts w:ascii="Arial" w:hAnsi="Arial" w:cs="Arial"/>
          <w:sz w:val="22"/>
        </w:rPr>
        <w:t>方或</w:t>
      </w:r>
      <w:r>
        <w:rPr>
          <w:rFonts w:hint="eastAsia" w:ascii="Arial" w:hAnsi="Arial" w:cs="Arial"/>
          <w:sz w:val="22"/>
        </w:rPr>
        <w:t>甲</w:t>
      </w:r>
      <w:r>
        <w:rPr>
          <w:rFonts w:ascii="Arial" w:hAnsi="Arial" w:cs="Arial"/>
          <w:sz w:val="22"/>
        </w:rPr>
        <w:t>方经办人员为了本合同之目的与本合同以外的任何第三方发生本条第</w:t>
      </w:r>
      <w:r>
        <w:rPr>
          <w:rFonts w:hint="eastAsia" w:ascii="Arial" w:hAnsi="Arial" w:cs="Arial"/>
          <w:sz w:val="22"/>
        </w:rPr>
        <w:t>2款</w:t>
      </w:r>
      <w:r>
        <w:rPr>
          <w:rFonts w:ascii="Arial" w:hAnsi="Arial" w:cs="Arial"/>
          <w:sz w:val="22"/>
        </w:rPr>
        <w:t>所列示的任何一种行为，该等行为都是违反国家法律的行为，并将受到国家法律的惩处。</w:t>
      </w:r>
    </w:p>
    <w:p>
      <w:pPr>
        <w:numPr>
          <w:ilvl w:val="1"/>
          <w:numId w:val="2"/>
        </w:numPr>
        <w:tabs>
          <w:tab w:val="left" w:pos="360"/>
        </w:tabs>
        <w:spacing w:beforeLines="10"/>
        <w:ind w:left="357" w:hanging="357"/>
        <w:jc w:val="left"/>
        <w:rPr>
          <w:rFonts w:ascii="Arial" w:hAnsi="Arial" w:cs="Arial"/>
          <w:sz w:val="22"/>
        </w:rPr>
      </w:pPr>
      <w:r>
        <w:rPr>
          <w:rFonts w:ascii="Arial" w:hAnsi="Arial" w:cs="Arial"/>
          <w:sz w:val="22"/>
        </w:rPr>
        <w:t>如因一方或一方经办人违反上述第</w:t>
      </w:r>
      <w:r>
        <w:rPr>
          <w:rFonts w:hint="eastAsia" w:ascii="Arial" w:hAnsi="Arial" w:cs="Arial"/>
          <w:sz w:val="22"/>
        </w:rPr>
        <w:t>2款</w:t>
      </w:r>
      <w:r>
        <w:rPr>
          <w:rFonts w:ascii="Arial" w:hAnsi="Arial" w:cs="Arial"/>
          <w:sz w:val="22"/>
        </w:rPr>
        <w:t>、第</w:t>
      </w:r>
      <w:r>
        <w:rPr>
          <w:rFonts w:hint="eastAsia" w:ascii="Arial" w:hAnsi="Arial" w:cs="Arial"/>
          <w:sz w:val="22"/>
        </w:rPr>
        <w:t>3款</w:t>
      </w:r>
      <w:r>
        <w:rPr>
          <w:rFonts w:ascii="Arial" w:hAnsi="Arial" w:cs="Arial"/>
          <w:sz w:val="22"/>
        </w:rPr>
        <w:t>、第</w:t>
      </w:r>
      <w:r>
        <w:rPr>
          <w:rFonts w:hint="eastAsia" w:ascii="Arial" w:hAnsi="Arial" w:cs="Arial"/>
          <w:sz w:val="22"/>
        </w:rPr>
        <w:t>4款</w:t>
      </w:r>
      <w:r>
        <w:rPr>
          <w:rFonts w:ascii="Arial" w:hAnsi="Arial" w:cs="Arial"/>
          <w:sz w:val="22"/>
        </w:rPr>
        <w:t>之规定，给对方造成损失的，应承担损害赔偿责任。</w:t>
      </w:r>
    </w:p>
    <w:p>
      <w:pPr>
        <w:numPr>
          <w:ilvl w:val="1"/>
          <w:numId w:val="2"/>
        </w:numPr>
        <w:tabs>
          <w:tab w:val="left" w:pos="360"/>
        </w:tabs>
        <w:spacing w:beforeLines="10"/>
        <w:ind w:left="357" w:hanging="357"/>
        <w:jc w:val="left"/>
        <w:rPr>
          <w:rFonts w:ascii="Arial" w:hAnsi="Arial" w:cs="Arial"/>
          <w:sz w:val="22"/>
        </w:rPr>
      </w:pPr>
      <w:r>
        <w:rPr>
          <w:rFonts w:ascii="Arial" w:hAnsi="Arial" w:cs="Arial"/>
          <w:sz w:val="22"/>
        </w:rPr>
        <w:t>本条所称“其他相关人员”是指甲乙方经办人以外的与合同有直接或间接利益关系的人员，包括但不仅限于合同经办人的亲友。</w:t>
      </w:r>
    </w:p>
    <w:p>
      <w:pPr>
        <w:tabs>
          <w:tab w:val="left" w:pos="3600"/>
        </w:tabs>
        <w:spacing w:beforeLines="10"/>
        <w:ind w:left="357"/>
        <w:jc w:val="left"/>
        <w:rPr>
          <w:rFonts w:ascii="Arial" w:hAnsi="Arial" w:cs="Arial"/>
          <w:sz w:val="22"/>
        </w:rPr>
      </w:pPr>
    </w:p>
    <w:p>
      <w:pPr>
        <w:numPr>
          <w:ilvl w:val="0"/>
          <w:numId w:val="2"/>
        </w:numPr>
        <w:tabs>
          <w:tab w:val="left" w:pos="840"/>
          <w:tab w:val="clear" w:pos="1680"/>
        </w:tabs>
        <w:spacing w:beforeLines="30"/>
        <w:ind w:left="1678" w:hanging="1678"/>
        <w:jc w:val="left"/>
        <w:outlineLvl w:val="0"/>
        <w:rPr>
          <w:rFonts w:ascii="Arial" w:hAnsi="Arial" w:cs="Arial"/>
          <w:b/>
          <w:sz w:val="22"/>
        </w:rPr>
      </w:pPr>
      <w:bookmarkStart w:id="6" w:name="_Toc222544612"/>
      <w:bookmarkStart w:id="7" w:name="_Toc288144013"/>
      <w:bookmarkStart w:id="8" w:name="_Toc222544279"/>
      <w:r>
        <w:rPr>
          <w:rFonts w:hint="eastAsia" w:ascii="Arial" w:hAnsi="Arial" w:cs="Arial"/>
          <w:b/>
          <w:sz w:val="22"/>
        </w:rPr>
        <w:t>商业秘密保护条款</w:t>
      </w:r>
      <w:bookmarkEnd w:id="6"/>
      <w:bookmarkEnd w:id="7"/>
    </w:p>
    <w:bookmarkEnd w:id="8"/>
    <w:p>
      <w:pPr>
        <w:numPr>
          <w:ilvl w:val="1"/>
          <w:numId w:val="2"/>
        </w:numPr>
        <w:tabs>
          <w:tab w:val="left" w:pos="360"/>
        </w:tabs>
        <w:spacing w:beforeLines="10"/>
        <w:ind w:left="357" w:hanging="357"/>
        <w:jc w:val="left"/>
        <w:rPr>
          <w:rFonts w:ascii="Arial" w:hAnsi="Arial" w:cs="Arial"/>
          <w:sz w:val="22"/>
        </w:rPr>
      </w:pPr>
      <w:r>
        <w:rPr>
          <w:rFonts w:ascii="Arial" w:hAnsi="Arial" w:cs="Arial"/>
          <w:sz w:val="22"/>
        </w:rPr>
        <w:t xml:space="preserve">对所知晓的有关对方、对方关联公司或属于第三方但对方或其关联公司承担保密义务的商业秘密，甲乙双方应当严格予以保密，不得在未获得对方书面认可的情况下在本合同目的之外使用或将此类商业秘密直接或间接透露给任何第三方。 </w:t>
      </w:r>
    </w:p>
    <w:p>
      <w:pPr>
        <w:numPr>
          <w:ilvl w:val="1"/>
          <w:numId w:val="2"/>
        </w:numPr>
        <w:tabs>
          <w:tab w:val="left" w:pos="360"/>
        </w:tabs>
        <w:spacing w:beforeLines="10"/>
        <w:ind w:left="357" w:hanging="357"/>
        <w:jc w:val="left"/>
        <w:rPr>
          <w:rFonts w:ascii="Arial" w:hAnsi="Arial" w:cs="Arial"/>
          <w:sz w:val="22"/>
        </w:rPr>
      </w:pPr>
      <w:r>
        <w:rPr>
          <w:rFonts w:ascii="Arial" w:hAnsi="Arial" w:cs="Arial"/>
          <w:sz w:val="22"/>
        </w:rPr>
        <w:t xml:space="preserve">基于本合同目的，需要向代表（包括但不仅限于甲乙双方的员工、董事、股东、顾问、合作单位及其他代表）透露上述商业秘密时，甲乙双方应督促其代表遵守本保密条款。 </w:t>
      </w:r>
    </w:p>
    <w:p>
      <w:pPr>
        <w:numPr>
          <w:ilvl w:val="1"/>
          <w:numId w:val="2"/>
        </w:numPr>
        <w:tabs>
          <w:tab w:val="left" w:pos="360"/>
        </w:tabs>
        <w:spacing w:beforeLines="10"/>
        <w:ind w:left="357" w:hanging="357"/>
        <w:jc w:val="left"/>
        <w:rPr>
          <w:rFonts w:ascii="Arial" w:hAnsi="Arial" w:cs="Arial"/>
          <w:sz w:val="22"/>
        </w:rPr>
      </w:pPr>
      <w:r>
        <w:rPr>
          <w:rFonts w:ascii="Arial" w:hAnsi="Arial" w:cs="Arial"/>
          <w:sz w:val="22"/>
        </w:rPr>
        <w:t xml:space="preserve">甲乙双方同意商业秘密保密期限自知晓之日起至商业秘密进入公知领域止。 </w:t>
      </w:r>
    </w:p>
    <w:p>
      <w:pPr>
        <w:numPr>
          <w:ilvl w:val="1"/>
          <w:numId w:val="2"/>
        </w:numPr>
        <w:tabs>
          <w:tab w:val="left" w:pos="360"/>
        </w:tabs>
        <w:spacing w:beforeLines="10"/>
        <w:ind w:left="357" w:hanging="357"/>
        <w:jc w:val="left"/>
        <w:rPr>
          <w:rFonts w:ascii="Arial" w:hAnsi="Arial" w:cs="Arial"/>
          <w:sz w:val="22"/>
        </w:rPr>
      </w:pPr>
      <w:r>
        <w:rPr>
          <w:rFonts w:ascii="Arial" w:hAnsi="Arial" w:cs="Arial"/>
          <w:sz w:val="22"/>
        </w:rPr>
        <w:t xml:space="preserve">本条所述“商业秘密”，包括但不限于A、与项目有关的任何/所有协议、往来传真或邮件；B客户资料、产品、商业计划、行销信息、投资信息、财务状况、图纸、技术决窍、计算机程序、研究及其他资料；C、属于第三方但披露方承担保密义务的信息；D、其他尽到审慎义务的人判断应予保密的信息。 </w:t>
      </w:r>
    </w:p>
    <w:p>
      <w:pPr>
        <w:numPr>
          <w:ilvl w:val="1"/>
          <w:numId w:val="2"/>
        </w:numPr>
        <w:tabs>
          <w:tab w:val="left" w:pos="360"/>
        </w:tabs>
        <w:spacing w:beforeLines="10"/>
        <w:ind w:left="357" w:hanging="357"/>
        <w:jc w:val="left"/>
        <w:rPr>
          <w:rFonts w:ascii="Arial" w:hAnsi="Arial" w:cs="Arial"/>
          <w:sz w:val="22"/>
        </w:rPr>
      </w:pPr>
      <w:r>
        <w:rPr>
          <w:rFonts w:ascii="Arial" w:hAnsi="Arial" w:cs="Arial"/>
          <w:sz w:val="22"/>
        </w:rPr>
        <w:t>本条所述“关联公司”，是指控制其、受其控制或与其处于同一主体控制之下的公司。</w:t>
      </w:r>
    </w:p>
    <w:p>
      <w:pPr>
        <w:tabs>
          <w:tab w:val="left" w:pos="3600"/>
        </w:tabs>
        <w:spacing w:beforeLines="10"/>
        <w:ind w:left="357"/>
        <w:jc w:val="left"/>
        <w:rPr>
          <w:rFonts w:ascii="Arial" w:hAnsi="Arial" w:cs="Arial"/>
          <w:sz w:val="22"/>
        </w:rPr>
      </w:pPr>
    </w:p>
    <w:p>
      <w:pPr>
        <w:numPr>
          <w:ilvl w:val="0"/>
          <w:numId w:val="2"/>
        </w:numPr>
        <w:tabs>
          <w:tab w:val="left" w:pos="840"/>
          <w:tab w:val="clear" w:pos="1680"/>
        </w:tabs>
        <w:spacing w:beforeLines="30"/>
        <w:ind w:left="1678" w:hanging="1678"/>
        <w:jc w:val="left"/>
        <w:outlineLvl w:val="0"/>
        <w:rPr>
          <w:rFonts w:ascii="Arial" w:hAnsi="Arial" w:cs="Arial"/>
          <w:b/>
          <w:sz w:val="22"/>
        </w:rPr>
      </w:pPr>
      <w:r>
        <w:rPr>
          <w:rFonts w:ascii="Arial" w:cs="Arial"/>
          <w:b/>
          <w:sz w:val="22"/>
        </w:rPr>
        <w:t>其他</w:t>
      </w:r>
    </w:p>
    <w:p>
      <w:pPr>
        <w:numPr>
          <w:ilvl w:val="1"/>
          <w:numId w:val="2"/>
        </w:numPr>
        <w:tabs>
          <w:tab w:val="left" w:pos="360"/>
        </w:tabs>
        <w:spacing w:beforeLines="10"/>
        <w:ind w:left="357" w:hanging="357"/>
        <w:jc w:val="left"/>
        <w:rPr>
          <w:rFonts w:ascii="Arial" w:hAnsi="Arial" w:cs="Arial"/>
          <w:sz w:val="22"/>
        </w:rPr>
      </w:pPr>
      <w:r>
        <w:rPr>
          <w:rFonts w:ascii="Arial" w:cs="Arial"/>
          <w:sz w:val="22"/>
        </w:rPr>
        <w:t>本合同以中华人民共和国法律为依据，甲乙双方因本合同事项发生争执时，应友好商议解决。</w:t>
      </w:r>
      <w:r>
        <w:rPr>
          <w:rFonts w:hint="eastAsia" w:ascii="Arial" w:cs="Arial"/>
          <w:sz w:val="22"/>
        </w:rPr>
        <w:t>如协议方经协商仍未能解决争议，应将此争议提交上海仲裁委员会仲裁。仲裁裁决为终局裁决，对双方均有约束力。除仲裁裁决有相反规定外，仲裁费用由败诉方承担。仲裁期间，双方需继续执行协议中除争议部分之外的其他条款</w:t>
      </w:r>
      <w:r>
        <w:rPr>
          <w:rFonts w:ascii="Arial" w:cs="Arial"/>
          <w:sz w:val="22"/>
        </w:rPr>
        <w:t>。</w:t>
      </w:r>
    </w:p>
    <w:p>
      <w:pPr>
        <w:numPr>
          <w:ilvl w:val="1"/>
          <w:numId w:val="2"/>
        </w:numPr>
        <w:tabs>
          <w:tab w:val="left" w:pos="360"/>
        </w:tabs>
        <w:spacing w:beforeLines="10"/>
        <w:ind w:left="357" w:hanging="357"/>
        <w:jc w:val="left"/>
        <w:rPr>
          <w:rFonts w:ascii="Arial" w:hAnsi="Arial" w:cs="Arial"/>
          <w:sz w:val="22"/>
        </w:rPr>
      </w:pPr>
      <w:r>
        <w:rPr>
          <w:rFonts w:ascii="Arial" w:cs="Arial"/>
          <w:sz w:val="22"/>
        </w:rPr>
        <w:t>本合同自双方盖章后生效，本合同一式肆份，甲</w:t>
      </w:r>
      <w:r>
        <w:rPr>
          <w:rFonts w:hint="eastAsia" w:ascii="Arial" w:cs="Arial"/>
          <w:sz w:val="22"/>
        </w:rPr>
        <w:t>方两份，乙方两份</w:t>
      </w:r>
      <w:r>
        <w:rPr>
          <w:rFonts w:ascii="Arial" w:cs="Arial"/>
          <w:sz w:val="22"/>
        </w:rPr>
        <w:t>。</w:t>
      </w:r>
    </w:p>
    <w:p>
      <w:pPr>
        <w:numPr>
          <w:ilvl w:val="1"/>
          <w:numId w:val="2"/>
        </w:numPr>
        <w:tabs>
          <w:tab w:val="left" w:pos="360"/>
        </w:tabs>
        <w:spacing w:beforeLines="10"/>
        <w:ind w:left="357" w:hanging="357"/>
        <w:jc w:val="left"/>
        <w:rPr>
          <w:rFonts w:ascii="Arial" w:hAnsi="Arial" w:cs="Arial"/>
          <w:sz w:val="22"/>
        </w:rPr>
      </w:pPr>
      <w:r>
        <w:rPr>
          <w:rFonts w:ascii="Arial" w:cs="Arial"/>
          <w:sz w:val="22"/>
        </w:rPr>
        <w:t>甲乙双方代表声明对本合同全文于签章前已详细审阅，并有权代表各方签订合同。</w:t>
      </w:r>
    </w:p>
    <w:p>
      <w:pPr>
        <w:numPr>
          <w:ilvl w:val="1"/>
          <w:numId w:val="2"/>
        </w:numPr>
        <w:tabs>
          <w:tab w:val="left" w:pos="360"/>
        </w:tabs>
        <w:spacing w:beforeLines="10"/>
        <w:ind w:left="357" w:hanging="357"/>
        <w:jc w:val="left"/>
        <w:rPr>
          <w:rFonts w:ascii="Arial" w:hAnsi="Arial" w:cs="Arial"/>
          <w:sz w:val="22"/>
        </w:rPr>
      </w:pPr>
      <w:r>
        <w:rPr>
          <w:rFonts w:hint="eastAsia" w:ascii="Arial" w:cs="Arial"/>
          <w:sz w:val="22"/>
        </w:rPr>
        <w:t>其他：</w:t>
      </w:r>
      <w:permStart w:id="12" w:edGrp="everyone"/>
      <w:r>
        <w:rPr>
          <w:rFonts w:hint="eastAsia" w:ascii="Arial" w:cs="Arial"/>
          <w:sz w:val="22"/>
          <w:u w:val="single"/>
        </w:rPr>
        <w:t xml:space="preserve">   /    </w:t>
      </w:r>
      <w:permEnd w:id="12"/>
    </w:p>
    <w:p>
      <w:pPr>
        <w:tabs>
          <w:tab w:val="left" w:pos="3600"/>
        </w:tabs>
        <w:spacing w:beforeLines="10"/>
        <w:jc w:val="left"/>
        <w:rPr>
          <w:rFonts w:ascii="Arial" w:hAnsi="Arial" w:cs="Arial"/>
          <w:sz w:val="22"/>
        </w:rPr>
      </w:pPr>
    </w:p>
    <w:p>
      <w:pPr>
        <w:spacing w:beforeLines="100"/>
        <w:ind w:left="4990" w:leftChars="-171" w:right="-334" w:rightChars="-159" w:hanging="5349" w:hangingChars="2422"/>
        <w:jc w:val="left"/>
        <w:rPr>
          <w:rFonts w:ascii="Arial" w:hAnsi="Arial" w:cs="Arial"/>
          <w:b/>
          <w:sz w:val="22"/>
        </w:rPr>
      </w:pPr>
      <w:r>
        <w:rPr>
          <w:rFonts w:ascii="Arial" w:cs="Arial"/>
          <w:b/>
          <w:sz w:val="22"/>
        </w:rPr>
        <w:t>甲</w:t>
      </w:r>
      <w:r>
        <w:rPr>
          <w:rFonts w:ascii="Arial" w:hAnsi="Arial" w:cs="Arial"/>
          <w:b/>
          <w:sz w:val="22"/>
        </w:rPr>
        <w:t xml:space="preserve">  </w:t>
      </w:r>
      <w:r>
        <w:rPr>
          <w:rFonts w:ascii="Arial" w:cs="Arial"/>
          <w:b/>
          <w:sz w:val="22"/>
        </w:rPr>
        <w:t>方：（盖章）</w:t>
      </w:r>
      <w:r>
        <w:rPr>
          <w:rFonts w:hint="eastAsia" w:ascii="Arial" w:cs="Arial"/>
          <w:b/>
          <w:sz w:val="22"/>
        </w:rPr>
        <w:t>中国平安财产保险股份有限公司</w:t>
      </w:r>
      <w:r>
        <w:rPr>
          <w:rFonts w:ascii="Arial" w:hAnsi="Arial" w:cs="Arial"/>
          <w:b/>
          <w:sz w:val="22"/>
        </w:rPr>
        <w:t xml:space="preserve"> </w:t>
      </w:r>
    </w:p>
    <w:p>
      <w:pPr>
        <w:spacing w:beforeLines="100"/>
        <w:ind w:right="-334" w:rightChars="-159"/>
        <w:jc w:val="left"/>
        <w:rPr>
          <w:rFonts w:hint="eastAsia" w:ascii="Arial" w:hAnsi="Arial" w:cs="Arial"/>
          <w:b/>
          <w:sz w:val="22"/>
        </w:rPr>
      </w:pPr>
    </w:p>
    <w:p>
      <w:pPr>
        <w:spacing w:beforeLines="100"/>
        <w:ind w:right="-334" w:rightChars="-159"/>
        <w:jc w:val="left"/>
        <w:rPr>
          <w:rFonts w:hint="eastAsia" w:ascii="Arial" w:hAnsi="Arial" w:cs="Arial"/>
          <w:b/>
          <w:sz w:val="22"/>
        </w:rPr>
      </w:pPr>
      <w:r>
        <w:rPr>
          <w:rFonts w:hint="eastAsia" w:ascii="Arial" w:hAnsi="Arial" w:cs="Arial"/>
          <w:b/>
          <w:sz w:val="22"/>
        </w:rPr>
        <w:t>签约日期：2014年8月25日</w:t>
      </w:r>
    </w:p>
    <w:p>
      <w:pPr>
        <w:spacing w:beforeLines="100"/>
        <w:ind w:left="4990" w:leftChars="-171" w:right="-334" w:rightChars="-159" w:hanging="5349" w:hangingChars="2422"/>
        <w:jc w:val="left"/>
        <w:rPr>
          <w:rFonts w:ascii="Arial" w:hAnsi="Arial" w:cs="Arial"/>
          <w:b/>
          <w:sz w:val="22"/>
        </w:rPr>
      </w:pPr>
    </w:p>
    <w:p>
      <w:pPr>
        <w:spacing w:beforeLines="100"/>
        <w:ind w:left="4990" w:leftChars="-171" w:right="-334" w:rightChars="-159" w:hanging="5349" w:hangingChars="2422"/>
        <w:jc w:val="left"/>
        <w:rPr>
          <w:rFonts w:ascii="Arial" w:hAnsi="Arial" w:cs="Arial"/>
          <w:b/>
          <w:sz w:val="22"/>
        </w:rPr>
      </w:pPr>
    </w:p>
    <w:p>
      <w:pPr>
        <w:spacing w:beforeLines="100"/>
        <w:ind w:left="4990" w:leftChars="-171" w:right="-334" w:rightChars="-159" w:hanging="5349" w:hangingChars="2422"/>
        <w:jc w:val="left"/>
        <w:rPr>
          <w:rFonts w:ascii="Arial" w:hAnsi="Arial" w:cs="Arial"/>
          <w:b/>
          <w:sz w:val="22"/>
        </w:rPr>
      </w:pPr>
      <w:r>
        <w:rPr>
          <w:rFonts w:ascii="Arial" w:cs="Arial"/>
          <w:b/>
          <w:sz w:val="22"/>
        </w:rPr>
        <w:t>乙</w:t>
      </w:r>
      <w:r>
        <w:rPr>
          <w:rFonts w:ascii="Arial" w:hAnsi="Arial" w:cs="Arial"/>
          <w:b/>
          <w:sz w:val="22"/>
        </w:rPr>
        <w:t xml:space="preserve">  </w:t>
      </w:r>
      <w:r>
        <w:rPr>
          <w:rFonts w:ascii="Arial" w:cs="Arial"/>
          <w:b/>
          <w:sz w:val="22"/>
        </w:rPr>
        <w:t>方：</w:t>
      </w:r>
      <w:permStart w:id="13" w:edGrp="everyone"/>
      <w:permEnd w:id="13"/>
      <w:r>
        <w:rPr>
          <w:rFonts w:ascii="Arial" w:cs="Arial"/>
          <w:b/>
          <w:sz w:val="22"/>
        </w:rPr>
        <w:t>（盖章）</w:t>
      </w:r>
      <w:r>
        <w:rPr>
          <w:rFonts w:hint="eastAsia" w:ascii="Arial" w:cs="Arial"/>
          <w:b/>
          <w:sz w:val="22"/>
        </w:rPr>
        <w:t>四川太极大药房连锁有限公司</w:t>
      </w:r>
      <w:r>
        <w:rPr>
          <w:rFonts w:hint="eastAsia" w:ascii="Arial" w:cs="Arial"/>
          <w:sz w:val="22"/>
        </w:rPr>
        <w:t xml:space="preserve">                        </w:t>
      </w:r>
    </w:p>
    <w:p>
      <w:pPr>
        <w:rPr>
          <w:rFonts w:hint="eastAsia" w:ascii="Arial" w:cs="Arial"/>
          <w:sz w:val="22"/>
        </w:rPr>
      </w:pPr>
    </w:p>
    <w:p>
      <w:pPr>
        <w:rPr>
          <w:rFonts w:hint="eastAsia"/>
        </w:rPr>
      </w:pPr>
    </w:p>
    <w:p>
      <w:pPr>
        <w:spacing w:beforeLines="100"/>
        <w:ind w:left="4974" w:leftChars="-21" w:right="-334" w:rightChars="-159" w:hanging="5018" w:hangingChars="2272"/>
        <w:jc w:val="left"/>
        <w:rPr>
          <w:rFonts w:ascii="Arial" w:hAnsi="Arial" w:cs="Arial"/>
          <w:b/>
          <w:sz w:val="22"/>
        </w:rPr>
      </w:pPr>
      <w:r>
        <w:rPr>
          <w:rFonts w:hint="eastAsia" w:ascii="Arial" w:hAnsi="Arial" w:cs="Arial"/>
          <w:b/>
          <w:sz w:val="22"/>
        </w:rPr>
        <w:t>签约日期：2014年8月25日</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wordWrap w:val="0"/>
      <w:jc w:val="right"/>
      <w:rPr>
        <w:rFonts w:ascii="Arial" w:hAnsi="Arial" w:cs="Arial"/>
      </w:rPr>
    </w:pPr>
    <w:r>
      <w:rPr>
        <w:rFonts w:hint="eastAsia"/>
      </w:rPr>
      <w:t xml:space="preserve">                                                        </w:t>
    </w:r>
    <w:r>
      <w:rPr>
        <w:rFonts w:ascii="Arial" w:cs="Arial"/>
        <w:szCs w:val="21"/>
      </w:rPr>
      <w:t>第</w:t>
    </w:r>
    <w:r>
      <w:rPr>
        <w:rFonts w:ascii="Arial" w:hAnsi="Arial" w:cs="Arial"/>
        <w:szCs w:val="21"/>
      </w:rPr>
      <w:t xml:space="preserve"> </w:t>
    </w:r>
    <w:r>
      <w:rPr>
        <w:rFonts w:ascii="Arial" w:hAnsi="Arial" w:cs="Arial"/>
        <w:szCs w:val="21"/>
      </w:rPr>
      <w:fldChar w:fldCharType="begin"/>
    </w:r>
    <w:r>
      <w:rPr>
        <w:rFonts w:ascii="Arial" w:hAnsi="Arial" w:cs="Arial"/>
        <w:szCs w:val="21"/>
      </w:rPr>
      <w:instrText xml:space="preserve"> PAGE </w:instrText>
    </w:r>
    <w:r>
      <w:rPr>
        <w:rFonts w:ascii="Arial" w:hAnsi="Arial" w:cs="Arial"/>
        <w:szCs w:val="21"/>
      </w:rPr>
      <w:fldChar w:fldCharType="separate"/>
    </w:r>
    <w:r>
      <w:rPr>
        <w:rFonts w:ascii="Arial" w:hAnsi="Arial" w:cs="Arial"/>
        <w:szCs w:val="21"/>
      </w:rPr>
      <w:t>3</w:t>
    </w:r>
    <w:r>
      <w:rPr>
        <w:rFonts w:ascii="Arial" w:hAnsi="Arial" w:cs="Arial"/>
        <w:szCs w:val="21"/>
      </w:rPr>
      <w:fldChar w:fldCharType="end"/>
    </w:r>
    <w:r>
      <w:rPr>
        <w:rFonts w:ascii="Arial" w:hAnsi="Arial" w:cs="Arial"/>
        <w:szCs w:val="21"/>
      </w:rPr>
      <w:t xml:space="preserve"> </w:t>
    </w:r>
    <w:r>
      <w:rPr>
        <w:rFonts w:ascii="Arial" w:cs="Arial"/>
        <w:szCs w:val="21"/>
      </w:rPr>
      <w:t>页</w:t>
    </w:r>
    <w:r>
      <w:rPr>
        <w:rFonts w:ascii="Arial" w:hAnsi="Arial" w:cs="Arial"/>
        <w:szCs w:val="21"/>
      </w:rPr>
      <w:t xml:space="preserve"> </w:t>
    </w:r>
    <w:r>
      <w:rPr>
        <w:rFonts w:ascii="Arial" w:cs="Arial"/>
        <w:szCs w:val="21"/>
      </w:rPr>
      <w:t>共</w:t>
    </w:r>
    <w:r>
      <w:rPr>
        <w:rFonts w:ascii="Arial" w:hAnsi="Arial" w:cs="Arial"/>
        <w:szCs w:val="21"/>
      </w:rPr>
      <w:t xml:space="preserve"> </w:t>
    </w:r>
    <w:r>
      <w:rPr>
        <w:rFonts w:ascii="Arial" w:hAnsi="Arial" w:cs="Arial"/>
        <w:szCs w:val="21"/>
      </w:rPr>
      <w:fldChar w:fldCharType="begin"/>
    </w:r>
    <w:r>
      <w:rPr>
        <w:rFonts w:ascii="Arial" w:hAnsi="Arial" w:cs="Arial"/>
        <w:szCs w:val="21"/>
      </w:rPr>
      <w:instrText xml:space="preserve"> NUMPAGES </w:instrText>
    </w:r>
    <w:r>
      <w:rPr>
        <w:rFonts w:ascii="Arial" w:hAnsi="Arial" w:cs="Arial"/>
        <w:szCs w:val="21"/>
      </w:rPr>
      <w:fldChar w:fldCharType="separate"/>
    </w:r>
    <w:r>
      <w:rPr>
        <w:rFonts w:ascii="Arial" w:hAnsi="Arial" w:cs="Arial"/>
        <w:szCs w:val="21"/>
      </w:rPr>
      <w:t>5</w:t>
    </w:r>
    <w:r>
      <w:rPr>
        <w:rFonts w:ascii="Arial" w:hAnsi="Arial" w:cs="Arial"/>
        <w:szCs w:val="21"/>
      </w:rPr>
      <w:fldChar w:fldCharType="end"/>
    </w:r>
    <w:r>
      <w:rPr>
        <w:rFonts w:ascii="Arial" w:hAnsi="Arial" w:cs="Arial"/>
        <w:szCs w:val="21"/>
      </w:rPr>
      <w:t xml:space="preserve"> </w:t>
    </w:r>
    <w:r>
      <w:rPr>
        <w:rFonts w:ascii="Arial" w:cs="Arial"/>
        <w:szCs w:val="21"/>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50192716">
    <w:nsid w:val="4A846D4C"/>
    <w:multiLevelType w:val="multilevel"/>
    <w:tmpl w:val="4A846D4C"/>
    <w:lvl w:ilvl="0" w:tentative="1">
      <w:start w:val="1"/>
      <w:numFmt w:val="chineseCountingThousand"/>
      <w:pStyle w:val="2"/>
      <w:lvlText w:val="%1、"/>
      <w:lvlJc w:val="left"/>
      <w:pPr>
        <w:tabs>
          <w:tab w:val="left" w:pos="432"/>
        </w:tabs>
        <w:ind w:left="432" w:hanging="432"/>
      </w:pPr>
      <w:rPr>
        <w:rFonts w:hint="eastAsia"/>
      </w:rPr>
    </w:lvl>
    <w:lvl w:ilvl="1" w:tentative="1">
      <w:start w:val="1"/>
      <w:numFmt w:val="decimal"/>
      <w:pStyle w:val="3"/>
      <w:lvlText w:val="%1.%2"/>
      <w:lvlJc w:val="left"/>
      <w:pPr>
        <w:tabs>
          <w:tab w:val="left" w:pos="576"/>
        </w:tabs>
        <w:ind w:left="576" w:hanging="576"/>
      </w:pPr>
      <w:rPr>
        <w:rFonts w:hint="eastAsia"/>
      </w:rPr>
    </w:lvl>
    <w:lvl w:ilvl="2" w:tentative="1">
      <w:start w:val="1"/>
      <w:numFmt w:val="decimal"/>
      <w:pStyle w:val="5"/>
      <w:lvlText w:val="%1.%2.%3"/>
      <w:lvlJc w:val="left"/>
      <w:pPr>
        <w:tabs>
          <w:tab w:val="left" w:pos="720"/>
        </w:tabs>
        <w:ind w:left="720" w:hanging="720"/>
      </w:pPr>
      <w:rPr>
        <w:rFonts w:hint="eastAsia"/>
      </w:rPr>
    </w:lvl>
    <w:lvl w:ilvl="3" w:tentative="1">
      <w:start w:val="1"/>
      <w:numFmt w:val="decimal"/>
      <w:pStyle w:val="6"/>
      <w:lvlText w:val="%1.%2.%3.%4"/>
      <w:lvlJc w:val="left"/>
      <w:pPr>
        <w:tabs>
          <w:tab w:val="left" w:pos="864"/>
        </w:tabs>
        <w:ind w:left="864" w:hanging="864"/>
      </w:pPr>
      <w:rPr>
        <w:rFonts w:hint="eastAsia"/>
      </w:rPr>
    </w:lvl>
    <w:lvl w:ilvl="4" w:tentative="1">
      <w:start w:val="1"/>
      <w:numFmt w:val="decimal"/>
      <w:pStyle w:val="7"/>
      <w:lvlText w:val="%1.%2.%3.%4.%5"/>
      <w:lvlJc w:val="left"/>
      <w:pPr>
        <w:tabs>
          <w:tab w:val="left" w:pos="1008"/>
        </w:tabs>
        <w:ind w:left="1008" w:hanging="1008"/>
      </w:pPr>
      <w:rPr>
        <w:rFonts w:hint="eastAsia"/>
      </w:rPr>
    </w:lvl>
    <w:lvl w:ilvl="5" w:tentative="1">
      <w:start w:val="1"/>
      <w:numFmt w:val="decimal"/>
      <w:pStyle w:val="8"/>
      <w:lvlText w:val="%1.%2.%3.%4.%5.%6"/>
      <w:lvlJc w:val="left"/>
      <w:pPr>
        <w:tabs>
          <w:tab w:val="left" w:pos="1152"/>
        </w:tabs>
        <w:ind w:left="1152" w:hanging="1152"/>
      </w:pPr>
      <w:rPr>
        <w:rFonts w:hint="eastAsia"/>
      </w:rPr>
    </w:lvl>
    <w:lvl w:ilvl="6" w:tentative="1">
      <w:start w:val="1"/>
      <w:numFmt w:val="decimal"/>
      <w:pStyle w:val="9"/>
      <w:lvlText w:val="%1.%2.%3.%4.%5.%6.%7"/>
      <w:lvlJc w:val="left"/>
      <w:pPr>
        <w:tabs>
          <w:tab w:val="left" w:pos="1296"/>
        </w:tabs>
        <w:ind w:left="1296" w:hanging="1296"/>
      </w:pPr>
      <w:rPr>
        <w:rFonts w:hint="eastAsia"/>
      </w:rPr>
    </w:lvl>
    <w:lvl w:ilvl="7" w:tentative="1">
      <w:start w:val="1"/>
      <w:numFmt w:val="decimal"/>
      <w:pStyle w:val="10"/>
      <w:lvlText w:val="%1.%2.%3.%4.%5.%6.%7.%8"/>
      <w:lvlJc w:val="left"/>
      <w:pPr>
        <w:tabs>
          <w:tab w:val="left" w:pos="1440"/>
        </w:tabs>
        <w:ind w:left="1440" w:hanging="1440"/>
      </w:pPr>
      <w:rPr>
        <w:rFonts w:hint="eastAsia"/>
      </w:rPr>
    </w:lvl>
    <w:lvl w:ilvl="8" w:tentative="1">
      <w:start w:val="1"/>
      <w:numFmt w:val="decimal"/>
      <w:pStyle w:val="11"/>
      <w:lvlText w:val="%1.%2.%3.%4.%5.%6.%7.%8.%9"/>
      <w:lvlJc w:val="left"/>
      <w:pPr>
        <w:tabs>
          <w:tab w:val="left" w:pos="1584"/>
        </w:tabs>
        <w:ind w:left="1584" w:hanging="1584"/>
      </w:pPr>
      <w:rPr>
        <w:rFonts w:hint="eastAsia"/>
      </w:rPr>
    </w:lvl>
  </w:abstractNum>
  <w:abstractNum w:abstractNumId="1718360687">
    <w:nsid w:val="666C1A6F"/>
    <w:multiLevelType w:val="multilevel"/>
    <w:tmpl w:val="666C1A6F"/>
    <w:lvl w:ilvl="0" w:tentative="1">
      <w:start w:val="1"/>
      <w:numFmt w:val="chineseCountingThousand"/>
      <w:lvlText w:val="第%1条"/>
      <w:lvlJc w:val="left"/>
      <w:pPr>
        <w:tabs>
          <w:tab w:val="left" w:pos="1680"/>
        </w:tabs>
        <w:ind w:left="1680" w:hanging="720"/>
      </w:pPr>
      <w:rPr>
        <w:rFonts w:hint="default"/>
        <w:b/>
        <w:lang w:val="en-US"/>
      </w:rPr>
    </w:lvl>
    <w:lvl w:ilvl="1" w:tentative="1">
      <w:start w:val="1"/>
      <w:numFmt w:val="decimal"/>
      <w:lvlText w:val="%2、"/>
      <w:lvlJc w:val="left"/>
      <w:pPr>
        <w:tabs>
          <w:tab w:val="left" w:pos="3600"/>
        </w:tabs>
        <w:ind w:left="3600" w:hanging="720"/>
      </w:pPr>
      <w:rPr>
        <w:rFonts w:hint="default" w:ascii="Arial" w:hAnsi="Arial" w:cs="Arial"/>
        <w:b w:val="0"/>
      </w:rPr>
    </w:lvl>
    <w:lvl w:ilvl="2" w:tentative="1">
      <w:start w:val="1"/>
      <w:numFmt w:val="lowerLetter"/>
      <w:lvlText w:val="%3)"/>
      <w:lvlJc w:val="left"/>
      <w:pPr>
        <w:tabs>
          <w:tab w:val="left" w:pos="780"/>
        </w:tabs>
        <w:ind w:left="780" w:hanging="420"/>
      </w:pPr>
      <w:rPr>
        <w:rFonts w:hint="default" w:ascii="Arial" w:hAnsi="Arial" w:cs="Arial"/>
        <w:b w:val="0"/>
      </w:r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1250192716"/>
  </w:num>
  <w:num w:numId="2">
    <w:abstractNumId w:val="17183606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0"/>
    <w:pPr>
      <w:numPr>
        <w:ilvl w:val="0"/>
        <w:numId w:val="1"/>
      </w:numPr>
      <w:spacing w:before="340" w:after="330" w:line="360" w:lineRule="auto"/>
      <w:jc w:val="left"/>
      <w:outlineLvl w:val="0"/>
    </w:pPr>
    <w:rPr>
      <w:rFonts w:ascii="Times New Roman" w:hAnsi="Times New Roman"/>
      <w:b/>
      <w:kern w:val="36"/>
      <w:sz w:val="28"/>
      <w:szCs w:val="20"/>
    </w:rPr>
  </w:style>
  <w:style w:type="paragraph" w:styleId="3">
    <w:name w:val="heading 2"/>
    <w:basedOn w:val="1"/>
    <w:next w:val="4"/>
    <w:link w:val="24"/>
    <w:qFormat/>
    <w:uiPriority w:val="0"/>
    <w:pPr>
      <w:keepNext/>
      <w:keepLines/>
      <w:numPr>
        <w:ilvl w:val="1"/>
        <w:numId w:val="1"/>
      </w:numPr>
      <w:tabs>
        <w:tab w:val="left" w:pos="432"/>
      </w:tabs>
      <w:spacing w:before="260" w:after="260" w:line="360" w:lineRule="auto"/>
      <w:jc w:val="left"/>
      <w:outlineLvl w:val="1"/>
    </w:pPr>
    <w:rPr>
      <w:rFonts w:ascii="Times New Roman" w:hAnsi="Times New Roman"/>
      <w:b/>
      <w:kern w:val="32"/>
      <w:sz w:val="32"/>
      <w:szCs w:val="20"/>
    </w:rPr>
  </w:style>
  <w:style w:type="paragraph" w:styleId="5">
    <w:name w:val="heading 3"/>
    <w:basedOn w:val="1"/>
    <w:next w:val="4"/>
    <w:link w:val="25"/>
    <w:qFormat/>
    <w:uiPriority w:val="0"/>
    <w:pPr>
      <w:keepNext/>
      <w:keepLines/>
      <w:numPr>
        <w:ilvl w:val="2"/>
        <w:numId w:val="1"/>
      </w:numPr>
      <w:tabs>
        <w:tab w:val="left" w:pos="432"/>
      </w:tabs>
      <w:spacing w:before="260" w:after="260" w:line="360" w:lineRule="auto"/>
      <w:jc w:val="left"/>
      <w:outlineLvl w:val="2"/>
    </w:pPr>
    <w:rPr>
      <w:rFonts w:ascii="Times New Roman" w:hAnsi="Times New Roman"/>
      <w:b/>
      <w:kern w:val="32"/>
      <w:sz w:val="30"/>
      <w:szCs w:val="20"/>
    </w:rPr>
  </w:style>
  <w:style w:type="paragraph" w:styleId="6">
    <w:name w:val="heading 4"/>
    <w:basedOn w:val="1"/>
    <w:next w:val="4"/>
    <w:link w:val="26"/>
    <w:qFormat/>
    <w:uiPriority w:val="0"/>
    <w:pPr>
      <w:keepNext/>
      <w:keepLines/>
      <w:numPr>
        <w:ilvl w:val="3"/>
        <w:numId w:val="1"/>
      </w:numPr>
      <w:tabs>
        <w:tab w:val="left" w:pos="432"/>
      </w:tabs>
      <w:spacing w:before="280" w:after="290" w:line="360" w:lineRule="auto"/>
      <w:jc w:val="left"/>
      <w:outlineLvl w:val="3"/>
    </w:pPr>
    <w:rPr>
      <w:rFonts w:ascii="Times New Roman" w:hAnsi="Times New Roman"/>
      <w:b/>
      <w:kern w:val="28"/>
      <w:sz w:val="28"/>
      <w:szCs w:val="20"/>
    </w:rPr>
  </w:style>
  <w:style w:type="paragraph" w:styleId="7">
    <w:name w:val="heading 5"/>
    <w:basedOn w:val="1"/>
    <w:next w:val="4"/>
    <w:link w:val="27"/>
    <w:qFormat/>
    <w:uiPriority w:val="0"/>
    <w:pPr>
      <w:keepNext/>
      <w:keepLines/>
      <w:numPr>
        <w:ilvl w:val="4"/>
        <w:numId w:val="1"/>
      </w:numPr>
      <w:tabs>
        <w:tab w:val="left" w:pos="432"/>
      </w:tabs>
      <w:spacing w:before="280" w:after="290" w:line="360" w:lineRule="auto"/>
      <w:jc w:val="left"/>
      <w:outlineLvl w:val="4"/>
    </w:pPr>
    <w:rPr>
      <w:rFonts w:ascii="Times New Roman" w:hAnsi="Times New Roman"/>
      <w:b/>
      <w:kern w:val="24"/>
      <w:sz w:val="24"/>
      <w:szCs w:val="20"/>
    </w:rPr>
  </w:style>
  <w:style w:type="paragraph" w:styleId="8">
    <w:name w:val="heading 6"/>
    <w:basedOn w:val="1"/>
    <w:next w:val="4"/>
    <w:link w:val="28"/>
    <w:qFormat/>
    <w:uiPriority w:val="0"/>
    <w:pPr>
      <w:keepNext/>
      <w:keepLines/>
      <w:numPr>
        <w:ilvl w:val="5"/>
        <w:numId w:val="1"/>
      </w:numPr>
      <w:tabs>
        <w:tab w:val="left" w:pos="432"/>
      </w:tabs>
      <w:spacing w:before="240" w:after="64" w:line="360" w:lineRule="auto"/>
      <w:jc w:val="left"/>
      <w:outlineLvl w:val="5"/>
    </w:pPr>
    <w:rPr>
      <w:rFonts w:ascii="Times New Roman" w:hAnsi="Times New Roman"/>
      <w:b/>
      <w:kern w:val="24"/>
      <w:sz w:val="24"/>
      <w:szCs w:val="20"/>
    </w:rPr>
  </w:style>
  <w:style w:type="paragraph" w:styleId="9">
    <w:name w:val="heading 7"/>
    <w:basedOn w:val="1"/>
    <w:next w:val="4"/>
    <w:link w:val="29"/>
    <w:qFormat/>
    <w:uiPriority w:val="0"/>
    <w:pPr>
      <w:keepNext/>
      <w:keepLines/>
      <w:numPr>
        <w:ilvl w:val="6"/>
        <w:numId w:val="1"/>
      </w:numPr>
      <w:tabs>
        <w:tab w:val="left" w:pos="432"/>
      </w:tabs>
      <w:spacing w:before="240" w:after="64" w:line="360" w:lineRule="auto"/>
      <w:jc w:val="left"/>
      <w:outlineLvl w:val="6"/>
    </w:pPr>
    <w:rPr>
      <w:rFonts w:ascii="Times New Roman" w:hAnsi="Times New Roman"/>
      <w:b/>
      <w:kern w:val="24"/>
      <w:sz w:val="24"/>
      <w:szCs w:val="20"/>
    </w:rPr>
  </w:style>
  <w:style w:type="paragraph" w:styleId="10">
    <w:name w:val="heading 8"/>
    <w:basedOn w:val="1"/>
    <w:next w:val="4"/>
    <w:link w:val="30"/>
    <w:qFormat/>
    <w:uiPriority w:val="0"/>
    <w:pPr>
      <w:keepNext/>
      <w:keepLines/>
      <w:numPr>
        <w:ilvl w:val="7"/>
        <w:numId w:val="1"/>
      </w:numPr>
      <w:tabs>
        <w:tab w:val="left" w:pos="432"/>
      </w:tabs>
      <w:spacing w:before="240" w:after="64" w:line="360" w:lineRule="auto"/>
      <w:jc w:val="left"/>
      <w:outlineLvl w:val="7"/>
    </w:pPr>
    <w:rPr>
      <w:rFonts w:ascii="Times New Roman" w:hAnsi="Times New Roman"/>
      <w:b/>
      <w:kern w:val="24"/>
      <w:sz w:val="24"/>
      <w:szCs w:val="20"/>
    </w:rPr>
  </w:style>
  <w:style w:type="paragraph" w:styleId="11">
    <w:name w:val="heading 9"/>
    <w:basedOn w:val="1"/>
    <w:next w:val="4"/>
    <w:link w:val="31"/>
    <w:qFormat/>
    <w:uiPriority w:val="0"/>
    <w:pPr>
      <w:keepNext/>
      <w:keepLines/>
      <w:numPr>
        <w:ilvl w:val="8"/>
        <w:numId w:val="1"/>
      </w:numPr>
      <w:tabs>
        <w:tab w:val="left" w:pos="432"/>
      </w:tabs>
      <w:spacing w:before="240" w:after="64" w:line="360" w:lineRule="auto"/>
      <w:jc w:val="left"/>
      <w:outlineLvl w:val="8"/>
    </w:pPr>
    <w:rPr>
      <w:rFonts w:ascii="Times New Roman" w:hAnsi="Times New Roman"/>
      <w:b/>
      <w:kern w:val="24"/>
      <w:sz w:val="24"/>
      <w:szCs w:val="20"/>
    </w:rPr>
  </w:style>
  <w:style w:type="character" w:default="1" w:styleId="16">
    <w:name w:val="Default Paragraph Font"/>
    <w:semiHidden/>
    <w:unhideWhenUsed/>
    <w:uiPriority w:val="1"/>
  </w:style>
  <w:style w:type="paragraph" w:styleId="4">
    <w:name w:val="Normal Indent"/>
    <w:basedOn w:val="1"/>
    <w:link w:val="32"/>
    <w:uiPriority w:val="0"/>
    <w:pPr>
      <w:spacing w:line="360" w:lineRule="auto"/>
      <w:ind w:firstLine="488"/>
    </w:pPr>
    <w:rPr>
      <w:rFonts w:ascii="Times New Roman" w:hAnsi="Times New Roman"/>
      <w:kern w:val="24"/>
      <w:sz w:val="24"/>
      <w:szCs w:val="20"/>
    </w:rPr>
  </w:style>
  <w:style w:type="paragraph" w:styleId="12">
    <w:name w:val="Balloon Text"/>
    <w:basedOn w:val="1"/>
    <w:link w:val="22"/>
    <w:semiHidden/>
    <w:unhideWhenUsed/>
    <w:uiPriority w:val="99"/>
    <w:rPr>
      <w:sz w:val="18"/>
      <w:szCs w:val="18"/>
    </w:rPr>
  </w:style>
  <w:style w:type="paragraph" w:styleId="13">
    <w:name w:val="footer"/>
    <w:basedOn w:val="1"/>
    <w:link w:val="20"/>
    <w:unhideWhenUsed/>
    <w:uiPriority w:val="0"/>
    <w:pPr>
      <w:tabs>
        <w:tab w:val="center" w:pos="4153"/>
        <w:tab w:val="right" w:pos="8306"/>
      </w:tabs>
      <w:snapToGrid w:val="0"/>
      <w:jc w:val="left"/>
    </w:pPr>
    <w:rPr>
      <w:kern w:val="0"/>
      <w:sz w:val="18"/>
      <w:szCs w:val="18"/>
    </w:rPr>
  </w:style>
  <w:style w:type="paragraph" w:styleId="14">
    <w:name w:val="header"/>
    <w:basedOn w:val="1"/>
    <w:link w:val="19"/>
    <w:unhideWhenUsed/>
    <w:uiPriority w:val="0"/>
    <w:pPr>
      <w:pBdr>
        <w:bottom w:val="single" w:color="auto" w:sz="6" w:space="1"/>
      </w:pBdr>
      <w:tabs>
        <w:tab w:val="center" w:pos="4153"/>
        <w:tab w:val="right" w:pos="8306"/>
      </w:tabs>
      <w:snapToGrid w:val="0"/>
      <w:jc w:val="center"/>
    </w:pPr>
    <w:rPr>
      <w:kern w:val="0"/>
      <w:sz w:val="18"/>
      <w:szCs w:val="18"/>
    </w:rPr>
  </w:style>
  <w:style w:type="paragraph" w:styleId="15">
    <w:name w:val="Title"/>
    <w:basedOn w:val="1"/>
    <w:link w:val="21"/>
    <w:qFormat/>
    <w:uiPriority w:val="0"/>
    <w:pPr>
      <w:spacing w:before="240" w:after="60"/>
      <w:jc w:val="center"/>
      <w:outlineLvl w:val="0"/>
    </w:pPr>
    <w:rPr>
      <w:rFonts w:ascii="Arial" w:hAnsi="Arial"/>
      <w:b/>
      <w:bCs/>
      <w:kern w:val="0"/>
      <w:sz w:val="32"/>
      <w:szCs w:val="32"/>
    </w:rPr>
  </w:style>
  <w:style w:type="character" w:styleId="17">
    <w:name w:val="Hyperlink"/>
    <w:uiPriority w:val="0"/>
    <w:rPr>
      <w:color w:val="0000FF"/>
      <w:u w:val="single"/>
    </w:rPr>
  </w:style>
  <w:style w:type="paragraph" w:customStyle="1" w:styleId="18">
    <w:name w:val="List Paragraph"/>
    <w:basedOn w:val="1"/>
    <w:qFormat/>
    <w:uiPriority w:val="34"/>
    <w:pPr>
      <w:ind w:firstLine="420" w:firstLineChars="200"/>
    </w:pPr>
  </w:style>
  <w:style w:type="character" w:customStyle="1" w:styleId="19">
    <w:name w:val="页眉 Char"/>
    <w:link w:val="14"/>
    <w:uiPriority w:val="0"/>
    <w:rPr>
      <w:rFonts w:ascii="Calibri" w:hAnsi="Calibri" w:eastAsia="宋体" w:cs="Times New Roman"/>
      <w:sz w:val="18"/>
      <w:szCs w:val="18"/>
    </w:rPr>
  </w:style>
  <w:style w:type="character" w:customStyle="1" w:styleId="20">
    <w:name w:val="页脚 Char"/>
    <w:link w:val="13"/>
    <w:uiPriority w:val="0"/>
    <w:rPr>
      <w:rFonts w:ascii="Calibri" w:hAnsi="Calibri" w:eastAsia="宋体" w:cs="Times New Roman"/>
      <w:sz w:val="18"/>
      <w:szCs w:val="18"/>
    </w:rPr>
  </w:style>
  <w:style w:type="character" w:customStyle="1" w:styleId="21">
    <w:name w:val="标题 Char"/>
    <w:link w:val="15"/>
    <w:uiPriority w:val="0"/>
    <w:rPr>
      <w:rFonts w:ascii="Arial" w:hAnsi="Arial" w:eastAsia="宋体" w:cs="Arial"/>
      <w:b/>
      <w:bCs/>
      <w:sz w:val="32"/>
      <w:szCs w:val="32"/>
    </w:rPr>
  </w:style>
  <w:style w:type="character" w:customStyle="1" w:styleId="22">
    <w:name w:val="批注框文本 Char"/>
    <w:link w:val="12"/>
    <w:semiHidden/>
    <w:uiPriority w:val="99"/>
    <w:rPr>
      <w:kern w:val="2"/>
      <w:sz w:val="18"/>
      <w:szCs w:val="18"/>
    </w:rPr>
  </w:style>
  <w:style w:type="character" w:customStyle="1" w:styleId="23">
    <w:name w:val="标题 1 Char"/>
    <w:aliases w:val="Section Head Char,h1 Char,1st level Char,l1 Char,1 Char,H1 Char,H11 Char,H12 Char,H13 Char,H14 Char,H15 Char,H16 Char,H17 Char,H17 + 宋体 Char,小三 Char,..... Char"/>
    <w:basedOn w:val="16"/>
    <w:link w:val="2"/>
    <w:uiPriority w:val="0"/>
    <w:rPr>
      <w:rFonts w:ascii="Times New Roman" w:hAnsi="Times New Roman"/>
      <w:b/>
      <w:kern w:val="36"/>
      <w:sz w:val="28"/>
    </w:rPr>
  </w:style>
  <w:style w:type="character" w:customStyle="1" w:styleId="24">
    <w:name w:val="标题 2 Char"/>
    <w:aliases w:val="H2-Heading 2 Char,Header 2 Char,l2 Char,Header2 Char,h2 Char,22 Char,heading2 Char,Header Char,2 Char,Level 2 Head Char,H2 Char,heading 2 Char,sect 1.2 Char,H21 Char,sect 1.21 Char,H22 Char,sect 1.22 Char,H211 Char,sect 1.211 Char,H23 Char"/>
    <w:basedOn w:val="16"/>
    <w:link w:val="3"/>
    <w:uiPriority w:val="0"/>
    <w:rPr>
      <w:rFonts w:ascii="Times New Roman" w:hAnsi="Times New Roman"/>
      <w:b/>
      <w:kern w:val="32"/>
      <w:sz w:val="32"/>
    </w:rPr>
  </w:style>
  <w:style w:type="character" w:customStyle="1" w:styleId="25">
    <w:name w:val="标题 3 Char"/>
    <w:basedOn w:val="16"/>
    <w:link w:val="5"/>
    <w:uiPriority w:val="0"/>
    <w:rPr>
      <w:rFonts w:ascii="Times New Roman" w:hAnsi="Times New Roman"/>
      <w:b/>
      <w:kern w:val="32"/>
      <w:sz w:val="30"/>
    </w:rPr>
  </w:style>
  <w:style w:type="character" w:customStyle="1" w:styleId="26">
    <w:name w:val="标题 4 Char"/>
    <w:basedOn w:val="16"/>
    <w:link w:val="6"/>
    <w:uiPriority w:val="0"/>
    <w:rPr>
      <w:rFonts w:ascii="Times New Roman" w:hAnsi="Times New Roman"/>
      <w:b/>
      <w:kern w:val="28"/>
      <w:sz w:val="28"/>
    </w:rPr>
  </w:style>
  <w:style w:type="character" w:customStyle="1" w:styleId="27">
    <w:name w:val="标题 5 Char"/>
    <w:basedOn w:val="16"/>
    <w:link w:val="7"/>
    <w:uiPriority w:val="0"/>
    <w:rPr>
      <w:rFonts w:ascii="Times New Roman" w:hAnsi="Times New Roman"/>
      <w:b/>
      <w:kern w:val="24"/>
      <w:sz w:val="24"/>
    </w:rPr>
  </w:style>
  <w:style w:type="character" w:customStyle="1" w:styleId="28">
    <w:name w:val="标题 6 Char"/>
    <w:basedOn w:val="16"/>
    <w:link w:val="8"/>
    <w:uiPriority w:val="0"/>
    <w:rPr>
      <w:rFonts w:ascii="Times New Roman" w:hAnsi="Times New Roman"/>
      <w:b/>
      <w:kern w:val="24"/>
      <w:sz w:val="24"/>
    </w:rPr>
  </w:style>
  <w:style w:type="character" w:customStyle="1" w:styleId="29">
    <w:name w:val="标题 7 Char"/>
    <w:basedOn w:val="16"/>
    <w:link w:val="9"/>
    <w:uiPriority w:val="0"/>
    <w:rPr>
      <w:rFonts w:ascii="Times New Roman" w:hAnsi="Times New Roman"/>
      <w:b/>
      <w:kern w:val="24"/>
      <w:sz w:val="24"/>
    </w:rPr>
  </w:style>
  <w:style w:type="character" w:customStyle="1" w:styleId="30">
    <w:name w:val="标题 8 Char"/>
    <w:basedOn w:val="16"/>
    <w:link w:val="10"/>
    <w:uiPriority w:val="0"/>
    <w:rPr>
      <w:rFonts w:ascii="Times New Roman" w:hAnsi="Times New Roman"/>
      <w:b/>
      <w:kern w:val="24"/>
      <w:sz w:val="24"/>
    </w:rPr>
  </w:style>
  <w:style w:type="character" w:customStyle="1" w:styleId="31">
    <w:name w:val="标题 9 Char"/>
    <w:basedOn w:val="16"/>
    <w:link w:val="11"/>
    <w:uiPriority w:val="0"/>
    <w:rPr>
      <w:rFonts w:ascii="Times New Roman" w:hAnsi="Times New Roman"/>
      <w:b/>
      <w:kern w:val="24"/>
      <w:sz w:val="24"/>
    </w:rPr>
  </w:style>
  <w:style w:type="character" w:customStyle="1" w:styleId="32">
    <w:name w:val="正文缩进 Char1"/>
    <w:aliases w:val="表正文 Char1,正文非缩进 Char,四号 Char,特点 Char,段1 Char,正文不缩进 Char,标题4 Char,Indent 1 Char,图表标题 Char,Alt+X Char,mr正文缩进 Char,正文双线 Char,正文（图说明文字居中） Char,缩进 Char,正文编号 Char,正文缩进 Char Char,正文（首行缩进两字） Char Char,表正文 Char Char,正 Char,ALT+Z Char,水上软件 Char,PI Char"/>
    <w:link w:val="4"/>
    <w:uiPriority w:val="0"/>
    <w:rPr>
      <w:rFonts w:ascii="Times New Roman" w:hAnsi="Times New Roman"/>
      <w:kern w:val="24"/>
      <w:sz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中国平安保险(集团)股份有限公司</Company>
  <Pages>5</Pages>
  <Words>500</Words>
  <Characters>2852</Characters>
  <Lines>23</Lines>
  <Paragraphs>6</Paragraphs>
  <TotalTime>0</TotalTime>
  <ScaleCrop>false</ScaleCrop>
  <LinksUpToDate>false</LinksUpToDate>
  <CharactersWithSpaces>0</CharactersWithSpaces>
  <Application>WPS Office 个人版_9.1.0.4715_{F1E327BC-269C-435d-A152-05C5408002CA}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2014-04-10T09:07:00Z</dcterms:created>
  <dc:creator>Alex Zhang</dc:creator>
  <cp:lastModifiedBy>wei</cp:lastModifiedBy>
  <dcterms:modified xsi:type="dcterms:W3CDTF">2014-08-25T02:42:12Z</dcterms:modified>
  <dc:title>2014年度平安直通西区药品采购项目合同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