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</w:rPr>
        <w:t>各片区及门店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: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</w:rPr>
        <w:t>附表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  <w:t>一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</w:rPr>
        <w:t>月慢病回访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  <w:t>明细表，现通报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月回访数据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</w:rPr>
        <w:t>情况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  <w:t>如下：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  <w:t>门店数据情况：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总任务：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3430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人次、实际回访：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1389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人次、挂零门店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93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家、挂零人员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137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人；达成率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40.5%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；</w:t>
      </w:r>
    </w:p>
    <w:tbl>
      <w:tblPr>
        <w:tblStyle w:val="2"/>
        <w:tblW w:w="93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680"/>
        <w:gridCol w:w="1680"/>
        <w:gridCol w:w="1680"/>
        <w:gridCol w:w="168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总任务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实际回访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参与门店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挂零门店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参与人员人数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挂零人员人数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慢病专员总任务：4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00人次、实际回访：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人次，差额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：3976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人次，达成率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0.6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%</w:t>
      </w:r>
    </w:p>
    <w:tbl>
      <w:tblPr>
        <w:tblStyle w:val="2"/>
        <w:tblW w:w="34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专员任务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专员实际回访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  <w:t>片区数据情况：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所有片区均未完成慢病回访任务</w:t>
      </w:r>
    </w:p>
    <w:tbl>
      <w:tblPr>
        <w:tblStyle w:val="2"/>
        <w:tblpPr w:leftFromText="180" w:rightFromText="180" w:vertAnchor="text" w:horzAnchor="page" w:tblpX="1242" w:tblpY="128"/>
        <w:tblOverlap w:val="never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67"/>
        <w:gridCol w:w="1267"/>
        <w:gridCol w:w="1150"/>
        <w:gridCol w:w="1233"/>
        <w:gridCol w:w="1417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3月各片区慢病回访情况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参与回访人员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实际回访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任务合计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任务差额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考核人员数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挂零人员数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城郊一片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崇州片区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-567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西门二片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-388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西门一片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-566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新津片区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  <w:t>处罚情况：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  <w:t>未完成员工：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201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人，共计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处罚分数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：</w:t>
      </w:r>
      <w:r>
        <w:rPr>
          <w:rFonts w:hint="eastAsia" w:ascii="宋体" w:hAnsi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485分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val="en-US" w:eastAsia="zh-CN"/>
        </w:rPr>
        <w:t>，</w:t>
      </w:r>
    </w:p>
    <w:tbl>
      <w:tblPr>
        <w:tblStyle w:val="2"/>
        <w:tblW w:w="3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未完成任务员工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eastAsia="zh-CN"/>
        </w:rPr>
        <w:t>具体处罚明细见附件一！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  <w:t>慢病佰策回访针对慢病品种明细内品种进行，最终回访数据仅包含回访合格条目。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ZjY0YjgzODUyNTk3ZGE0MWNjMWNiMDJjZTg5NWQifQ=="/>
  </w:docVars>
  <w:rsids>
    <w:rsidRoot w:val="484D100A"/>
    <w:rsid w:val="484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2023-04-11T10:02:00Z</dcterms:created>
  <dc:creator>李小妹儿</dc:creator>
  <cp:lastModifiedBy>李小妹儿</cp:lastModifiedBy>
  <dcterms:modified xsi:type="dcterms:W3CDTF">2023-04-11T10:24:55Z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99FD6C5954294B8F8D63E95F9658EF6A_11</vt:lpwstr>
  </property>
</Properties>
</file>