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各片区及门店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: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附表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月慢病回访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明细表，现通报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月回访数据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门店数据情况：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3430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1389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人次、挂零门店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93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家、挂零人员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137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人；达成率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40.5%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；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80"/>
        <w:gridCol w:w="1680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总任务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慢病专员总任务：4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00人次、实际回访：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人次，差额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：3976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0.6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%</w:t>
      </w:r>
    </w:p>
    <w:tbl>
      <w:tblPr>
        <w:tblStyle w:val="2"/>
        <w:tblW w:w="3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专员任务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专员实际回访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片区数据情况：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所有片区均未完成慢病回访任务</w:t>
      </w:r>
    </w:p>
    <w:tbl>
      <w:tblPr>
        <w:tblStyle w:val="2"/>
        <w:tblpPr w:leftFromText="180" w:rightFromText="180" w:vertAnchor="text" w:horzAnchor="page" w:tblpX="1242" w:tblpY="128"/>
        <w:tblOverlap w:val="never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67"/>
        <w:gridCol w:w="1267"/>
        <w:gridCol w:w="1150"/>
        <w:gridCol w:w="1233"/>
        <w:gridCol w:w="1417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3月各片区慢病回访情况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参与回访人员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任务合计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任务差额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考核人员数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处罚情况：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未完成员工：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201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人，共计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处罚分数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485分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，</w:t>
      </w:r>
    </w:p>
    <w:tbl>
      <w:tblPr>
        <w:tblStyle w:val="2"/>
        <w:tblW w:w="3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未完成任务员工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具体处罚明细见附件一！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慢病佰策回访针对慢病品种明细内品种进行，最终回访数据仅包含回访合格条目。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484D100A"/>
    <w:rsid w:val="484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2023-04-11T10:02:00Z</dcterms:created>
  <dc:creator>李小妹儿</dc:creator>
  <cp:lastModifiedBy>李小妹儿</cp:lastModifiedBy>
  <dcterms:modified xsi:type="dcterms:W3CDTF">2023-04-11T10:24:55Z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99FD6C5954294B8F8D63E95F9658EF6A_11</vt:lpwstr>
  </property>
</Properties>
</file>