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>“康美</w:t>
      </w:r>
      <w:r>
        <w:rPr>
          <w:rFonts w:hint="eastAsia"/>
          <w:b/>
          <w:bCs/>
          <w:sz w:val="44"/>
          <w:szCs w:val="44"/>
          <w:lang w:val="en-US" w:eastAsia="zh-CN"/>
        </w:rPr>
        <w:t>智慧药房</w:t>
      </w:r>
      <w:r>
        <w:rPr>
          <w:rFonts w:hint="default"/>
          <w:b/>
          <w:bCs/>
          <w:sz w:val="44"/>
          <w:szCs w:val="44"/>
          <w:lang w:val="en-US" w:eastAsia="zh-CN"/>
        </w:rPr>
        <w:t>”</w:t>
      </w:r>
      <w:r>
        <w:rPr>
          <w:rFonts w:hint="eastAsia"/>
          <w:b/>
          <w:bCs/>
          <w:sz w:val="44"/>
          <w:szCs w:val="44"/>
          <w:lang w:val="en-US" w:eastAsia="zh-CN"/>
        </w:rPr>
        <w:t>销售回款数据检核流程</w:t>
      </w:r>
    </w:p>
    <w:p>
      <w:pPr>
        <w:ind w:firstLine="321" w:firstLineChars="1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32"/>
          <w:szCs w:val="32"/>
          <w:u w:val="single"/>
          <w:lang w:val="en-US" w:eastAsia="zh-CN"/>
        </w:rPr>
        <w:t>门店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</w:p>
    <w:p>
      <w:pPr>
        <w:numPr>
          <w:ilvl w:val="0"/>
          <w:numId w:val="1"/>
        </w:numPr>
        <w:ind w:firstLine="280" w:firstLineChars="1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如果顾客使用现金支付方式，根据实际销售额，当天存营业款时单独存入银行，并在银行回单上</w:t>
      </w:r>
      <w:r>
        <w:rPr>
          <w:rFonts w:hint="eastAsia"/>
          <w:b/>
          <w:bCs/>
          <w:sz w:val="28"/>
          <w:szCs w:val="28"/>
          <w:lang w:val="en-US" w:eastAsia="zh-CN"/>
        </w:rPr>
        <w:t>注明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“康美”字样。</w:t>
      </w:r>
    </w:p>
    <w:p>
      <w:pPr>
        <w:numPr>
          <w:ilvl w:val="0"/>
          <w:numId w:val="1"/>
        </w:numPr>
        <w:ind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如果顾客使用保险卡、微信、支付宝等非现金支付方式，根据实际销售额，在填写400449时，在备注栏</w:t>
      </w:r>
      <w:r>
        <w:rPr>
          <w:rFonts w:hint="eastAsia"/>
          <w:b/>
          <w:bCs/>
          <w:sz w:val="28"/>
          <w:szCs w:val="28"/>
          <w:lang w:val="en-US" w:eastAsia="zh-CN"/>
        </w:rPr>
        <w:t>注明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“康美XXX元”。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70C0"/>
          <w:sz w:val="32"/>
          <w:szCs w:val="32"/>
          <w:u w:val="single"/>
          <w:lang w:val="en-US" w:eastAsia="zh-CN"/>
        </w:rPr>
        <w:t>采购部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每月30日前，在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康美智慧药房医院支撑管理系统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”http://www.kmzhyf.cn:8081/km-hospital-client/user/login.htm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中汇总导出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与财务结帐期一致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的门店康美智慧药房销售数据，编制《门店应缴康美智慧药房清单》。财务结帐期：01.01-01.25，01.26-02.25......05.26-06.30，07.01-07.25，07.26-08.25......11.26-12.31.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每月2日前，按《门店应缴康美智慧药房清单》金额，录入400446中。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70C0"/>
          <w:sz w:val="32"/>
          <w:szCs w:val="32"/>
          <w:u w:val="single"/>
          <w:lang w:val="en-US" w:eastAsia="zh-CN"/>
        </w:rPr>
        <w:t xml:space="preserve"> 财务部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每月8号前，依据400446中录入的应收金额，核实门店实际缴存金额。</w:t>
      </w:r>
    </w:p>
    <w:p>
      <w:pPr>
        <w:numPr>
          <w:ilvl w:val="0"/>
          <w:numId w:val="3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通知门店上报金额与400446中录入数据有差异的门店当天补存差额，并核实门店补存情况。</w:t>
      </w:r>
    </w:p>
    <w:p>
      <w:pPr>
        <w:numPr>
          <w:ilvl w:val="0"/>
          <w:numId w:val="3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每月15号前，给采购部等相关部门报当月清查情况。</w:t>
      </w:r>
    </w:p>
    <w:p>
      <w:pPr>
        <w:jc w:val="center"/>
        <w:rPr>
          <w:rFonts w:hint="default"/>
          <w:b w:val="0"/>
          <w:bCs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C61B54"/>
    <w:multiLevelType w:val="singleLevel"/>
    <w:tmpl w:val="ABC61B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91BEAC"/>
    <w:multiLevelType w:val="singleLevel"/>
    <w:tmpl w:val="1591BEA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A4F5F90"/>
    <w:multiLevelType w:val="singleLevel"/>
    <w:tmpl w:val="6A4F5F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40550"/>
    <w:rsid w:val="098C7A02"/>
    <w:rsid w:val="227F1E43"/>
    <w:rsid w:val="2F4721A5"/>
    <w:rsid w:val="67040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2021-02-04T07:08:00Z</dcterms:created>
  <dc:creator>昕</dc:creator>
  <cp:lastModifiedBy>昕</cp:lastModifiedBy>
  <dcterms:modified xsi:type="dcterms:W3CDTF">2021-02-04T08:19:25Z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