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                       </w:t>
      </w:r>
      <w:r>
        <w:rPr>
          <w:rFonts w:hint="eastAsia"/>
        </w:rPr>
        <w:t>被考评人（店员）：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525FC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34</TotalTime>
  <ScaleCrop>false</ScaleCrop>
  <LinksUpToDate>false</LinksUpToDate>
  <CharactersWithSpaces>1506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巍巍</cp:lastModifiedBy>
  <dcterms:modified xsi:type="dcterms:W3CDTF">2021-10-07T04:35:50Z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AB89A4B0B5D34F4AA9F2AA51E22CBDC5</vt:lpwstr>
  </property>
</Properties>
</file>