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18"/>
                <w:szCs w:val="18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门店总销售对比去年同期销售下滑，当月绩效扣50分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 </w:t>
      </w:r>
      <w:r>
        <w:rPr>
          <w:rFonts w:hint="eastAsia"/>
          <w:lang w:val="en-US" w:eastAsia="zh-CN"/>
        </w:rPr>
        <w:t>舒海燕</w:t>
      </w:r>
      <w:r>
        <w:t xml:space="preserve">                      </w:t>
      </w:r>
      <w:r>
        <w:rPr>
          <w:rFonts w:hint="eastAsia"/>
        </w:rPr>
        <w:t>被考评人（店员）：</w:t>
      </w:r>
      <w:r>
        <w:rPr>
          <w:rFonts w:hint="eastAsia"/>
          <w:lang w:val="en-US" w:eastAsia="zh-CN"/>
        </w:rPr>
        <w:t>曾燕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品种完成情况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店长绩效考核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门店重点品种完成情况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门店微信圈手机会员新增情况情况，未完成当月新增任务，微信朋友圈人数未超过300人（5分）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</w:rPr>
              <w:t>8、门店效期未及时清理，当月未下架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9、当月销售对比去年同期下滑，绩效扣50分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19.10）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0F45FB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1</TotalTime>
  <ScaleCrop>false</ScaleCrop>
  <LinksUpToDate>false</LinksUpToDate>
  <CharactersWithSpaces>1574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</cp:lastModifiedBy>
  <dcterms:modified xsi:type="dcterms:W3CDTF">2020-07-27T14:26:08Z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