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hint="eastAsia" w:ascii="方正小标宋简体" w:eastAsia="方正小标宋简体"/>
          <w:color w:val="000000"/>
          <w:sz w:val="32"/>
          <w:szCs w:val="32"/>
        </w:rPr>
      </w:pPr>
      <w:r>
        <w:rPr>
          <w:rFonts w:ascii="黑体" w:eastAsia="黑体"/>
          <w:color w:val="000000"/>
          <w:sz w:val="32"/>
          <w:szCs w:val="32"/>
        </w:rPr>
        <w:t xml:space="preserve">  </w:t>
      </w:r>
      <w:r>
        <w:rPr>
          <w:rFonts w:hint="eastAsia" w:ascii="黑体" w:eastAsia="黑体"/>
          <w:color w:val="000000"/>
          <w:sz w:val="32"/>
          <w:szCs w:val="32"/>
          <w:lang w:val="en-US" w:eastAsia="zh-CN"/>
        </w:rPr>
        <w:t xml:space="preserve">       </w:t>
      </w:r>
      <w:r>
        <w:rPr>
          <w:rFonts w:hint="eastAsia" w:ascii="方正小标宋简体" w:eastAsia="方正小标宋简体"/>
          <w:color w:val="000000"/>
          <w:sz w:val="32"/>
          <w:szCs w:val="32"/>
        </w:rPr>
        <w:t>药品零售企业落实主体责任情况自查表</w:t>
      </w:r>
    </w:p>
    <w:p>
      <w:pPr>
        <w:shd w:val="clear" w:color="auto" w:fill="FFFFFF"/>
        <w:rPr>
          <w:color w:val="000000"/>
          <w:sz w:val="32"/>
          <w:szCs w:val="32"/>
        </w:rPr>
      </w:pPr>
      <w:r>
        <w:rPr>
          <w:rFonts w:hint="eastAsia" w:ascii="方正楷体_GBK" w:hAnsi="黑体" w:eastAsia="方正楷体_GBK"/>
          <w:color w:val="000000"/>
          <w:sz w:val="24"/>
          <w:szCs w:val="24"/>
        </w:rPr>
        <w:t>（</w:t>
      </w:r>
      <w:r>
        <w:rPr>
          <w:rFonts w:hint="eastAsia" w:ascii="方正楷体_GBK" w:hAnsi="黑体" w:eastAsia="方正楷体_GBK" w:cs="宋体"/>
          <w:color w:val="000000"/>
          <w:sz w:val="24"/>
          <w:szCs w:val="24"/>
        </w:rPr>
        <w:t>包含药品零售连锁总部、连锁门店、单体药店，自查时间段为</w:t>
      </w:r>
      <w:r>
        <w:rPr>
          <w:rFonts w:ascii="方正楷体_GBK" w:hAnsi="黑体" w:eastAsia="方正楷体_GBK" w:cs="宋体"/>
          <w:color w:val="000000"/>
          <w:sz w:val="24"/>
          <w:szCs w:val="24"/>
        </w:rPr>
        <w:t>2017</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日至</w:t>
      </w:r>
      <w:r>
        <w:rPr>
          <w:rFonts w:ascii="方正楷体_GBK" w:hAnsi="黑体" w:eastAsia="方正楷体_GBK" w:cs="宋体"/>
          <w:color w:val="000000"/>
          <w:sz w:val="24"/>
          <w:szCs w:val="24"/>
        </w:rPr>
        <w:t>2018</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31</w:t>
      </w:r>
      <w:r>
        <w:rPr>
          <w:rFonts w:hint="eastAsia" w:ascii="方正楷体_GBK" w:hAnsi="黑体" w:eastAsia="方正楷体_GBK" w:cs="宋体"/>
          <w:color w:val="000000"/>
          <w:sz w:val="24"/>
          <w:szCs w:val="24"/>
        </w:rPr>
        <w:t>日）</w:t>
      </w:r>
    </w:p>
    <w:tbl>
      <w:tblPr>
        <w:tblStyle w:val="8"/>
        <w:tblW w:w="9780"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85"/>
        <w:gridCol w:w="2732"/>
        <w:gridCol w:w="759"/>
        <w:gridCol w:w="1455"/>
        <w:gridCol w:w="1084"/>
        <w:gridCol w:w="126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企业名称</w:t>
            </w:r>
          </w:p>
        </w:tc>
        <w:tc>
          <w:tcPr>
            <w:tcW w:w="3491" w:type="dxa"/>
            <w:gridSpan w:val="2"/>
            <w:vAlign w:val="center"/>
          </w:tcPr>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四川太极大药房连锁有限公司金牛区沙河源药店</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注册地址</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成都市金牛区蓉北商贸大道二段</w:t>
            </w:r>
            <w:r>
              <w:rPr>
                <w:rFonts w:hint="eastAsia" w:ascii="方正仿宋_GBK" w:hAnsi="宋体" w:eastAsia="方正仿宋_GBK" w:cs="宋体"/>
                <w:color w:val="000000"/>
                <w:kern w:val="2"/>
                <w:sz w:val="22"/>
                <w:szCs w:val="22"/>
                <w:lang w:val="en-US" w:eastAsia="zh-CN"/>
              </w:rPr>
              <w:t>278号附4-10  1层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药品经营许可证号或</w:t>
            </w:r>
            <w:r>
              <w:rPr>
                <w:rFonts w:ascii="方正仿宋_GBK" w:hAnsi="方正仿宋_GBK" w:eastAsia="方正仿宋_GBK" w:cs="方正仿宋_GBK"/>
                <w:color w:val="000000"/>
                <w:sz w:val="22"/>
                <w:szCs w:val="22"/>
              </w:rPr>
              <w:t>GSP</w:t>
            </w:r>
            <w:r>
              <w:rPr>
                <w:rFonts w:hint="eastAsia" w:ascii="方正仿宋_GBK" w:hAnsi="方正仿宋_GBK" w:eastAsia="方正仿宋_GBK" w:cs="方正仿宋_GBK"/>
                <w:color w:val="000000"/>
                <w:sz w:val="22"/>
                <w:szCs w:val="22"/>
              </w:rPr>
              <w:t>证书</w:t>
            </w:r>
          </w:p>
        </w:tc>
        <w:tc>
          <w:tcPr>
            <w:tcW w:w="3491" w:type="dxa"/>
            <w:gridSpan w:val="2"/>
            <w:vAlign w:val="center"/>
          </w:tcPr>
          <w:p>
            <w:pPr>
              <w:jc w:val="left"/>
              <w:rPr>
                <w:rFonts w:hint="eastAsia" w:ascii="方正仿宋_GBK" w:hAnsi="宋体" w:eastAsia="方正仿宋_GBK" w:cs="宋体"/>
                <w:color w:val="000000"/>
                <w:kern w:val="2"/>
                <w:sz w:val="22"/>
                <w:szCs w:val="22"/>
                <w:highlight w:val="green"/>
                <w:lang w:eastAsia="zh-CN"/>
              </w:rPr>
            </w:pP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川CB0283754(13)</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企业法人及电话</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蒋炜</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13880583118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企业负责人及电话</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李坚</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17318664300</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质量负责人及电话</w:t>
            </w:r>
          </w:p>
        </w:tc>
        <w:tc>
          <w:tcPr>
            <w:tcW w:w="3559" w:type="dxa"/>
            <w:gridSpan w:val="3"/>
            <w:vAlign w:val="center"/>
          </w:tcPr>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谭莉杨</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17713531703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经营范围</w:t>
            </w:r>
          </w:p>
        </w:tc>
        <w:tc>
          <w:tcPr>
            <w:tcW w:w="8505" w:type="dxa"/>
            <w:gridSpan w:val="6"/>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零售：生化药品、中药材、中药饮片、生物制品（不含预防性生物制品）、中成药、化学制剂、抗生素制剂、预包装食品、乳制品（含婴幼儿配方乳粉）（未取得相关行政许可，按许可核定的项目和时限经营）：销售：保健品、日用百货、医疗器械</w:t>
            </w:r>
            <w:r>
              <w:rPr>
                <w:rFonts w:hint="eastAsia" w:ascii="方正仿宋_GBK" w:hAnsi="宋体" w:eastAsia="方正仿宋_GBK" w:cs="宋体"/>
                <w:color w:val="000000"/>
                <w:kern w:val="2"/>
                <w:sz w:val="22"/>
                <w:szCs w:val="22"/>
                <w:lang w:val="en-US" w:eastAsia="zh-CN"/>
              </w:rPr>
              <w:t>I类、化妆品。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0" w:type="dxa"/>
            <w:gridSpan w:val="8"/>
          </w:tcPr>
          <w:p>
            <w:pPr>
              <w:spacing w:after="0"/>
              <w:jc w:val="center"/>
              <w:rPr>
                <w:rFonts w:ascii="方正小标宋简体" w:eastAsia="方正小标宋简体"/>
                <w:color w:val="000000"/>
                <w:kern w:val="2"/>
                <w:sz w:val="22"/>
                <w:szCs w:val="22"/>
              </w:rPr>
            </w:pPr>
            <w:r>
              <w:rPr>
                <w:rFonts w:hint="eastAsia" w:ascii="方正小标宋简体" w:eastAsia="方正小标宋简体"/>
                <w:color w:val="000000"/>
                <w:kern w:val="2"/>
                <w:sz w:val="22"/>
                <w:szCs w:val="22"/>
              </w:rPr>
              <w:t>自查内容情况表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序号</w:t>
            </w:r>
          </w:p>
        </w:tc>
        <w:tc>
          <w:tcPr>
            <w:tcW w:w="6615" w:type="dxa"/>
            <w:gridSpan w:val="5"/>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自查内容</w:t>
            </w:r>
          </w:p>
        </w:tc>
        <w:tc>
          <w:tcPr>
            <w:tcW w:w="1265"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自查情况</w:t>
            </w:r>
          </w:p>
        </w:tc>
        <w:tc>
          <w:tcPr>
            <w:tcW w:w="121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是否从个人或者无《药品生产许可证》《药品经营许可证》的单位购进药品。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shd w:val="clear" w:fill="000000"/>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是否存在违法回收或参与回收药品，销售回收药品。是否非法购进医疗机构制剂并销售。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shd w:val="clear" w:fill="000000"/>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时，证（许可证书）、票（发票、随货同行票据）、账（实物账、财务账）、货（药品实物）、款（货款）相关信息（单位、品名、规格、批号、金额、付款流向等）等与实际是否相互对应一致。购进药品是否按照</w:t>
            </w:r>
            <w:r>
              <w:rPr>
                <w:rFonts w:ascii="方正仿宋_GBK" w:hAnsi="宋体" w:eastAsia="方正仿宋_GBK" w:cs="宋体"/>
                <w:color w:val="000000"/>
                <w:kern w:val="2"/>
                <w:sz w:val="22"/>
                <w:szCs w:val="22"/>
              </w:rPr>
              <w:t>GSP</w:t>
            </w:r>
            <w:r>
              <w:rPr>
                <w:rFonts w:hint="eastAsia" w:ascii="方正仿宋_GBK" w:hAnsi="宋体" w:eastAsia="方正仿宋_GBK" w:cs="宋体"/>
                <w:color w:val="000000"/>
                <w:kern w:val="2"/>
                <w:sz w:val="22"/>
                <w:szCs w:val="22"/>
              </w:rPr>
              <w:t>相关规定进行计算机系统管理，实现药品可追溯。</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shd w:val="clear" w:fill="000000"/>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r>
              <w:rPr>
                <w:rFonts w:hint="eastAsia" w:ascii="宋体" w:hAnsi="宋体" w:eastAsia="宋体" w:cs="宋体"/>
                <w:b w:val="0"/>
                <w:i w:val="0"/>
                <w:caps w:val="0"/>
                <w:color w:val="000000"/>
                <w:spacing w:val="0"/>
                <w:sz w:val="24"/>
                <w:szCs w:val="24"/>
                <w:highlight w:val="none"/>
                <w:shd w:val="clear" w:color="auto" w:fill="FFFFFF"/>
                <w:lang w:eastAsia="zh-CN"/>
              </w:rPr>
              <w:t>公司统一配送的药品到门店后，我店严格执行药品质量验收管理制度及门店药品收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是否购进、销售假劣药品，或将非药品冒充药品进行宣传、销售。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shd w:val="clear" w:fill="000000"/>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5</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是否以中药材及其初加工产品非法加工、私自炮制、非法分装冒充中药饮片销售。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shd w:val="clear" w:fill="000000"/>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6</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是否存在出租、出借柜台等为他人非法经营提供便利的行为。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shd w:val="clear" w:fill="000000"/>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7</w:t>
            </w:r>
          </w:p>
        </w:tc>
        <w:tc>
          <w:tcPr>
            <w:tcW w:w="6615" w:type="dxa"/>
            <w:gridSpan w:val="5"/>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方正仿宋_GBK" w:hAnsi="宋体" w:eastAsia="方正仿宋_GBK" w:cs="宋体"/>
                <w:color w:val="000000"/>
                <w:kern w:val="2"/>
                <w:sz w:val="22"/>
                <w:szCs w:val="22"/>
              </w:rPr>
              <w:t>2018</w:t>
            </w:r>
            <w:r>
              <w:rPr>
                <w:rFonts w:hint="eastAsia" w:ascii="方正仿宋_GBK" w:hAnsi="宋体" w:eastAsia="方正仿宋_GBK" w:cs="宋体"/>
                <w:color w:val="000000"/>
                <w:kern w:val="2"/>
                <w:sz w:val="22"/>
                <w:szCs w:val="22"/>
              </w:rPr>
              <w:t>】</w:t>
            </w:r>
            <w:r>
              <w:rPr>
                <w:rFonts w:ascii="方正仿宋_GBK" w:hAnsi="宋体" w:eastAsia="方正仿宋_GBK" w:cs="宋体"/>
                <w:color w:val="000000"/>
                <w:kern w:val="2"/>
                <w:sz w:val="22"/>
                <w:szCs w:val="22"/>
              </w:rPr>
              <w:t>43</w:t>
            </w:r>
            <w:r>
              <w:rPr>
                <w:rFonts w:hint="eastAsia" w:ascii="方正仿宋_GBK" w:hAnsi="宋体" w:eastAsia="方正仿宋_GBK" w:cs="宋体"/>
                <w:color w:val="000000"/>
                <w:kern w:val="2"/>
                <w:sz w:val="22"/>
                <w:szCs w:val="22"/>
              </w:rPr>
              <w:t>号）经营使用血液制品，违反药监部门的相关规定销售含特殊药品复方制剂等药品。</w:t>
            </w:r>
          </w:p>
        </w:tc>
        <w:tc>
          <w:tcPr>
            <w:tcW w:w="1265" w:type="dxa"/>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shd w:val="clear" w:fill="000000"/>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8</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是否无证经营药品（含许可证失效后继续经营的行为），超范围、超方式经营药品。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shd w:val="clear" w:fill="000000"/>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9</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购进药品是否索取发票（含应税劳务清单）及随货同行单等票据。索取发票上的购、销单位名称及金额、品名是否与付款流向及金额、品名一致，并与财务账目内容相对应。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shd w:val="clear" w:fill="000000"/>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r>
              <w:rPr>
                <w:rFonts w:hint="eastAsia" w:ascii="宋体" w:hAnsi="宋体" w:eastAsia="宋体" w:cs="宋体"/>
                <w:b w:val="0"/>
                <w:bCs w:val="0"/>
                <w:i w:val="0"/>
                <w:caps w:val="0"/>
                <w:color w:val="000000"/>
                <w:spacing w:val="0"/>
                <w:sz w:val="24"/>
                <w:szCs w:val="24"/>
                <w:highlight w:val="none"/>
                <w:shd w:val="clear" w:color="auto" w:fill="FFFFFF"/>
                <w:lang w:eastAsia="zh-CN"/>
              </w:rPr>
              <w:t>公司总部对全部直营门店进行统一管理、统一核算，门店的药品全部由公司总部按照批次成本价直接配送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10</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是否严格按照药品的贮藏要求储存、陈列药品。经营冷藏药品的，是否有专用冷藏设备，其专用设备是否与其经营品种及经营规模相适应。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shd w:val="clear" w:fill="000000"/>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我店严格按照冷藏药品要求管理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是否违反处方药与非处方药分类管理规定，不凭处方销售抗菌药物等处方药品。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shd w:val="clear" w:fill="000000"/>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执业药师是否存在挂证、不在岗履职的行为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shd w:val="clear" w:fill="000000"/>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是否严格按照市局相关文件要求开展远程执业药师药学服务和电子处方试点。</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shd w:val="clear" w:fill="000000"/>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严格按照文件要求执行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690" w:type="dxa"/>
            <w:vMerge w:val="restart"/>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是否存在网络非法制售药品、网络销售处方药和国家有专门管理要求的药品的行为。</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shd w:val="clear" w:fill="000000"/>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Merge w:val="continue"/>
          </w:tcPr>
          <w:p>
            <w:pPr>
              <w:spacing w:after="0"/>
              <w:rPr>
                <w:rFonts w:ascii="方正仿宋_GBK" w:hAnsi="宋体" w:eastAsia="方正仿宋_GBK" w:cs="宋体"/>
                <w:color w:val="000000"/>
                <w:kern w:val="2"/>
                <w:sz w:val="22"/>
                <w:szCs w:val="22"/>
              </w:rPr>
            </w:pP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开展网络药品经营的零售企业，是否按照“网上网下一致”的原则网售药品。是否建立在线药学服务制度，配备执业药师，指导合理用药；是否网络发布处方药信息；是否按规定向消费者出具销售凭证。</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shd w:val="clear" w:fill="000000"/>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r>
              <w:rPr>
                <w:rFonts w:hint="eastAsia" w:ascii="宋体" w:hAnsi="宋体" w:eastAsia="宋体" w:cs="宋体"/>
                <w:sz w:val="24"/>
                <w:szCs w:val="24"/>
                <w:highlight w:val="none"/>
                <w:lang w:eastAsia="zh-CN"/>
              </w:rPr>
              <w:t>按照</w:t>
            </w:r>
            <w:r>
              <w:rPr>
                <w:rFonts w:hint="eastAsia" w:ascii="宋体" w:hAnsi="宋体" w:eastAsia="宋体" w:cs="宋体"/>
                <w:b w:val="0"/>
                <w:bCs w:val="0"/>
                <w:i w:val="0"/>
                <w:caps w:val="0"/>
                <w:color w:val="000000"/>
                <w:spacing w:val="0"/>
                <w:sz w:val="24"/>
                <w:szCs w:val="24"/>
                <w:highlight w:val="none"/>
                <w:shd w:val="clear" w:color="auto" w:fill="FFFFFF"/>
              </w:rPr>
              <w:t>“网上网下一致”的原则网售药品</w:t>
            </w:r>
            <w:r>
              <w:rPr>
                <w:rFonts w:hint="eastAsia" w:ascii="宋体" w:hAnsi="宋体" w:eastAsia="宋体" w:cs="宋体"/>
                <w:b w:val="0"/>
                <w:bCs w:val="0"/>
                <w:i w:val="0"/>
                <w:caps w:val="0"/>
                <w:color w:val="000000"/>
                <w:spacing w:val="0"/>
                <w:sz w:val="24"/>
                <w:szCs w:val="24"/>
                <w:highlight w:val="none"/>
                <w:shd w:val="clear" w:color="auto" w:fill="FFFFFF"/>
                <w:lang w:eastAsia="zh-CN"/>
              </w:rPr>
              <w:t>，建立了</w:t>
            </w:r>
            <w:r>
              <w:rPr>
                <w:rFonts w:hint="eastAsia" w:ascii="宋体" w:hAnsi="宋体" w:eastAsia="宋体" w:cs="宋体"/>
                <w:b w:val="0"/>
                <w:bCs w:val="0"/>
                <w:i w:val="0"/>
                <w:caps w:val="0"/>
                <w:color w:val="000000"/>
                <w:spacing w:val="0"/>
                <w:sz w:val="24"/>
                <w:szCs w:val="24"/>
                <w:highlight w:val="none"/>
                <w:shd w:val="clear" w:color="auto" w:fill="FFFFFF"/>
              </w:rPr>
              <w:t>在线药学服务制度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自查结论（可另附页）</w:t>
            </w:r>
          </w:p>
          <w:p>
            <w:pPr>
              <w:spacing w:after="0"/>
              <w:rPr>
                <w:rFonts w:ascii="方正仿宋_GBK" w:hAnsi="宋体" w:eastAsia="方正仿宋_GBK" w:cs="宋体"/>
                <w:color w:val="000000"/>
                <w:kern w:val="2"/>
                <w:sz w:val="22"/>
                <w:szCs w:val="22"/>
              </w:rPr>
            </w:pPr>
          </w:p>
          <w:p>
            <w:pPr>
              <w:spacing w:after="0"/>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所有的药品储存都是按照药品储存要求进行储存，陈列、管理。</w:t>
            </w:r>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整改措施（可另附页）</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4007" w:type="dxa"/>
            <w:gridSpan w:val="3"/>
            <w:tcBorders>
              <w:left w:val="single" w:color="auto" w:sz="4" w:space="0"/>
              <w:bottom w:val="single" w:color="auto" w:sz="4" w:space="0"/>
              <w:right w:val="single" w:color="auto" w:sz="4" w:space="0"/>
            </w:tcBorders>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自查人员签名</w:t>
            </w:r>
            <w:r>
              <w:rPr>
                <w:rFonts w:hint="eastAsia" w:ascii="方正仿宋_GBK" w:hAnsi="宋体" w:eastAsia="方正仿宋_GBK" w:cs="宋体"/>
                <w:color w:val="000000"/>
                <w:kern w:val="2"/>
                <w:sz w:val="22"/>
                <w:szCs w:val="22"/>
                <w:lang w:eastAsia="zh-CN"/>
              </w:rPr>
              <w:t>曹娉</w:t>
            </w:r>
          </w:p>
          <w:p>
            <w:pPr>
              <w:spacing w:after="0"/>
              <w:ind w:left="1960" w:hanging="1540" w:hangingChars="70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p>
          <w:p>
            <w:pPr>
              <w:spacing w:after="0"/>
              <w:ind w:left="1960" w:hanging="1540" w:hangingChars="700"/>
              <w:rPr>
                <w:rFonts w:ascii="方正仿宋_GBK" w:hAnsi="宋体" w:eastAsia="方正仿宋_GBK" w:cs="宋体"/>
                <w:color w:val="000000"/>
                <w:kern w:val="2"/>
                <w:sz w:val="22"/>
                <w:szCs w:val="22"/>
              </w:rPr>
            </w:pPr>
          </w:p>
          <w:p>
            <w:pPr>
              <w:spacing w:after="0"/>
              <w:ind w:left="1540" w:leftChars="450" w:hanging="550" w:hangingChars="25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2018</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03</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22</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c>
          <w:tcPr>
            <w:tcW w:w="5773" w:type="dxa"/>
            <w:gridSpan w:val="5"/>
            <w:tcBorders>
              <w:left w:val="single" w:color="auto" w:sz="4" w:space="0"/>
              <w:bottom w:val="single" w:color="auto" w:sz="4" w:space="0"/>
              <w:right w:val="single" w:color="auto" w:sz="4" w:space="0"/>
            </w:tcBorders>
          </w:tcPr>
          <w:p>
            <w:pPr>
              <w:spacing w:after="0" w:line="280" w:lineRule="atLeast"/>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企业法定代表人</w:t>
            </w:r>
            <w:r>
              <w:rPr>
                <w:rFonts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rPr>
              <w:t>企业负责人签名</w:t>
            </w:r>
          </w:p>
          <w:p>
            <w:pPr>
              <w:spacing w:after="0" w:line="280" w:lineRule="atLeast"/>
              <w:ind w:firstLine="1100" w:firstLineChars="50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（盖章）：</w:t>
            </w:r>
            <w:r>
              <w:rPr>
                <w:rFonts w:hint="eastAsia" w:ascii="方正仿宋_GBK" w:hAnsi="宋体" w:eastAsia="方正仿宋_GBK" w:cs="宋体"/>
                <w:color w:val="000000"/>
                <w:kern w:val="2"/>
                <w:sz w:val="22"/>
                <w:szCs w:val="22"/>
                <w:lang w:eastAsia="zh-CN"/>
              </w:rPr>
              <w:t>李坚</w:t>
            </w:r>
          </w:p>
          <w:p>
            <w:pPr>
              <w:spacing w:after="0" w:line="280" w:lineRule="atLeast"/>
              <w:ind w:firstLine="1100" w:firstLineChars="500"/>
              <w:rPr>
                <w:rFonts w:ascii="方正仿宋_GBK" w:hAnsi="宋体" w:eastAsia="方正仿宋_GBK" w:cs="宋体"/>
                <w:color w:val="000000"/>
                <w:kern w:val="2"/>
                <w:sz w:val="22"/>
                <w:szCs w:val="22"/>
              </w:rPr>
            </w:pPr>
          </w:p>
          <w:p>
            <w:pPr>
              <w:spacing w:after="0"/>
              <w:ind w:left="1680" w:hanging="1320" w:hangingChars="600"/>
              <w:jc w:val="right"/>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2018</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03</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23</w:t>
            </w:r>
            <w:bookmarkStart w:id="0" w:name="_GoBack"/>
            <w:bookmarkEnd w:id="0"/>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r>
    </w:tbl>
    <w:p>
      <w:pPr>
        <w:spacing w:after="0"/>
        <w:jc w:val="both"/>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填表说明：</w:t>
      </w:r>
      <w:r>
        <w:rPr>
          <w:rFonts w:ascii="方正仿宋_GBK" w:hAnsi="宋体" w:eastAsia="方正仿宋_GBK" w:cs="宋体"/>
          <w:color w:val="000000"/>
          <w:sz w:val="24"/>
          <w:szCs w:val="24"/>
        </w:rPr>
        <w:t>1.</w:t>
      </w:r>
      <w:r>
        <w:rPr>
          <w:rFonts w:hint="eastAsia" w:ascii="方正仿宋_GBK" w:hAnsi="宋体" w:eastAsia="方正仿宋_GBK" w:cs="宋体"/>
          <w:color w:val="000000"/>
          <w:sz w:val="24"/>
          <w:szCs w:val="24"/>
        </w:rPr>
        <w:t>未进入远程试点的药品零售企业不用自查本表第</w:t>
      </w:r>
      <w:r>
        <w:rPr>
          <w:rFonts w:ascii="方正仿宋_GBK" w:hAnsi="宋体" w:eastAsia="方正仿宋_GBK" w:cs="宋体"/>
          <w:color w:val="000000"/>
          <w:sz w:val="24"/>
          <w:szCs w:val="24"/>
        </w:rPr>
        <w:t>13</w:t>
      </w:r>
      <w:r>
        <w:rPr>
          <w:rFonts w:hint="eastAsia" w:ascii="方正仿宋_GBK" w:hAnsi="宋体" w:eastAsia="方正仿宋_GBK" w:cs="宋体"/>
          <w:color w:val="000000"/>
          <w:sz w:val="24"/>
          <w:szCs w:val="24"/>
        </w:rPr>
        <w:t>项内容；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2.</w:t>
      </w:r>
      <w:r>
        <w:rPr>
          <w:rFonts w:hint="eastAsia" w:ascii="方正仿宋_GBK" w:hAnsi="宋体" w:eastAsia="方正仿宋_GBK" w:cs="宋体"/>
          <w:color w:val="000000"/>
          <w:kern w:val="2"/>
          <w:sz w:val="24"/>
          <w:szCs w:val="24"/>
        </w:rPr>
        <w:t>未开展网络销售药品的药店不用自查</w:t>
      </w:r>
      <w:r>
        <w:rPr>
          <w:rFonts w:ascii="方正仿宋_GBK" w:hAnsi="宋体" w:eastAsia="方正仿宋_GBK" w:cs="宋体"/>
          <w:color w:val="000000"/>
          <w:sz w:val="24"/>
          <w:szCs w:val="24"/>
        </w:rPr>
        <w:t>14</w:t>
      </w:r>
      <w:r>
        <w:rPr>
          <w:rFonts w:hint="eastAsia" w:ascii="方正仿宋_GBK" w:hAnsi="宋体" w:eastAsia="方正仿宋_GBK" w:cs="宋体"/>
          <w:color w:val="000000"/>
          <w:sz w:val="24"/>
          <w:szCs w:val="24"/>
        </w:rPr>
        <w:t>项</w:t>
      </w:r>
      <w:r>
        <w:rPr>
          <w:rFonts w:hint="eastAsia" w:ascii="方正仿宋_GBK" w:hAnsi="宋体" w:eastAsia="方正仿宋_GBK" w:cs="宋体"/>
          <w:color w:val="000000"/>
          <w:kern w:val="2"/>
          <w:sz w:val="24"/>
          <w:szCs w:val="24"/>
        </w:rPr>
        <w:t>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3.</w:t>
      </w:r>
      <w:r>
        <w:rPr>
          <w:rFonts w:hint="eastAsia" w:ascii="方正仿宋_GBK" w:hAnsi="宋体" w:eastAsia="方正仿宋_GBK" w:cs="宋体"/>
          <w:color w:val="000000"/>
          <w:sz w:val="24"/>
          <w:szCs w:val="24"/>
        </w:rPr>
        <w:t>本表备注栏对自查情况栏填“是”的，必须对相应项目进行补充说明和解释。</w:t>
      </w:r>
      <w:r>
        <w:rPr>
          <w:rFonts w:ascii="方正仿宋_GBK" w:hAnsi="宋体" w:eastAsia="方正仿宋_GBK" w:cs="宋体"/>
          <w:color w:val="000000"/>
          <w:sz w:val="24"/>
          <w:szCs w:val="24"/>
        </w:rPr>
        <w:t xml:space="preserve">           </w:t>
      </w: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720"/>
  <w:drawingGridHorizontalSpacing w:val="110"/>
  <w:drawingGridVerticalSpacing w:val="156"/>
  <w:noPunctuationKerning w:val="1"/>
  <w:characterSpacingControl w:val="doNotCompress"/>
  <w:noLineBreaksAfter w:lang="zh-CN" w:val="$([{£¥·‘“〈《「『【〔〖〝﹙﹛﹝＄（．［｛￡￥"/>
  <w:noLineBreaksBefore w:lang="zh-CN" w:val="!%),.:;&gt;?]}¢¨°·ˇˉ―‖’”…‰′″›℃∶、。〃〉》」』】〕〗〞︶︺︾﹀﹄﹚﹜﹞！＂％＇），．：；？］｀｜｝～￠"/>
  <w:hdrShapeDefaults>
    <o:shapelayout v:ext="edit">
      <o:idmap v:ext="edit" data="3,4"/>
    </o:shapelayout>
  </w:hdrShapeDefaults>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D50"/>
    <w:rsid w:val="0001099C"/>
    <w:rsid w:val="000533D3"/>
    <w:rsid w:val="00092496"/>
    <w:rsid w:val="000E6C16"/>
    <w:rsid w:val="000E7D12"/>
    <w:rsid w:val="00137A4E"/>
    <w:rsid w:val="00150FE3"/>
    <w:rsid w:val="00151F28"/>
    <w:rsid w:val="00181B09"/>
    <w:rsid w:val="001D0486"/>
    <w:rsid w:val="001E7DE6"/>
    <w:rsid w:val="0020184C"/>
    <w:rsid w:val="0020479B"/>
    <w:rsid w:val="00242CB4"/>
    <w:rsid w:val="00250F85"/>
    <w:rsid w:val="002F2003"/>
    <w:rsid w:val="00300CD8"/>
    <w:rsid w:val="00323B43"/>
    <w:rsid w:val="003254F4"/>
    <w:rsid w:val="00330244"/>
    <w:rsid w:val="003542F9"/>
    <w:rsid w:val="00364C8C"/>
    <w:rsid w:val="003B386B"/>
    <w:rsid w:val="003D37D8"/>
    <w:rsid w:val="003D6D97"/>
    <w:rsid w:val="00403C4F"/>
    <w:rsid w:val="0040562C"/>
    <w:rsid w:val="004216B9"/>
    <w:rsid w:val="0042196A"/>
    <w:rsid w:val="00426133"/>
    <w:rsid w:val="004358AB"/>
    <w:rsid w:val="004460F3"/>
    <w:rsid w:val="00455EF8"/>
    <w:rsid w:val="00514F2F"/>
    <w:rsid w:val="00547C2A"/>
    <w:rsid w:val="005560DC"/>
    <w:rsid w:val="00581248"/>
    <w:rsid w:val="00591991"/>
    <w:rsid w:val="005D0E67"/>
    <w:rsid w:val="005E2BDB"/>
    <w:rsid w:val="006058FC"/>
    <w:rsid w:val="0063629B"/>
    <w:rsid w:val="00652038"/>
    <w:rsid w:val="006C0328"/>
    <w:rsid w:val="006D6B30"/>
    <w:rsid w:val="006F4B00"/>
    <w:rsid w:val="00727997"/>
    <w:rsid w:val="007D41D1"/>
    <w:rsid w:val="007E7AB3"/>
    <w:rsid w:val="008233BA"/>
    <w:rsid w:val="00841FE2"/>
    <w:rsid w:val="00872CB3"/>
    <w:rsid w:val="008B7726"/>
    <w:rsid w:val="0093509E"/>
    <w:rsid w:val="009E051D"/>
    <w:rsid w:val="00AC2585"/>
    <w:rsid w:val="00B50C28"/>
    <w:rsid w:val="00B939A1"/>
    <w:rsid w:val="00C0300E"/>
    <w:rsid w:val="00C37578"/>
    <w:rsid w:val="00C64A06"/>
    <w:rsid w:val="00C74A43"/>
    <w:rsid w:val="00CF1C9F"/>
    <w:rsid w:val="00D31D50"/>
    <w:rsid w:val="00D729DB"/>
    <w:rsid w:val="00D74505"/>
    <w:rsid w:val="00DA2F3B"/>
    <w:rsid w:val="00DD02AD"/>
    <w:rsid w:val="00F31D4C"/>
    <w:rsid w:val="00F42075"/>
    <w:rsid w:val="00F6429A"/>
    <w:rsid w:val="00F932BE"/>
    <w:rsid w:val="00FD3BBA"/>
    <w:rsid w:val="00FD5BB6"/>
    <w:rsid w:val="00FF3A74"/>
    <w:rsid w:val="043A7F98"/>
    <w:rsid w:val="050D07E5"/>
    <w:rsid w:val="06AF0871"/>
    <w:rsid w:val="071B7918"/>
    <w:rsid w:val="0934498C"/>
    <w:rsid w:val="0BC95933"/>
    <w:rsid w:val="0E1E73B7"/>
    <w:rsid w:val="0F7259D9"/>
    <w:rsid w:val="11EB0D23"/>
    <w:rsid w:val="12C728CE"/>
    <w:rsid w:val="14752B61"/>
    <w:rsid w:val="1958101E"/>
    <w:rsid w:val="1A373E30"/>
    <w:rsid w:val="1C3228AF"/>
    <w:rsid w:val="1D9C49B0"/>
    <w:rsid w:val="1E161DFC"/>
    <w:rsid w:val="1F745011"/>
    <w:rsid w:val="1FE17135"/>
    <w:rsid w:val="1FF732A6"/>
    <w:rsid w:val="215367F9"/>
    <w:rsid w:val="21E43CF7"/>
    <w:rsid w:val="2294176A"/>
    <w:rsid w:val="231576B9"/>
    <w:rsid w:val="24B54223"/>
    <w:rsid w:val="26CE4ABF"/>
    <w:rsid w:val="29421A39"/>
    <w:rsid w:val="2C8375CC"/>
    <w:rsid w:val="2E090774"/>
    <w:rsid w:val="2E0A02CF"/>
    <w:rsid w:val="2E0C5B70"/>
    <w:rsid w:val="2E293F0A"/>
    <w:rsid w:val="2F061B10"/>
    <w:rsid w:val="319F6146"/>
    <w:rsid w:val="32E97456"/>
    <w:rsid w:val="36C959D3"/>
    <w:rsid w:val="38F0479D"/>
    <w:rsid w:val="392765E0"/>
    <w:rsid w:val="3AA9178D"/>
    <w:rsid w:val="3AEC48A5"/>
    <w:rsid w:val="40433ECD"/>
    <w:rsid w:val="4156492C"/>
    <w:rsid w:val="41A503A7"/>
    <w:rsid w:val="483D5332"/>
    <w:rsid w:val="49FB1604"/>
    <w:rsid w:val="4A36523E"/>
    <w:rsid w:val="4ACC1140"/>
    <w:rsid w:val="4D014427"/>
    <w:rsid w:val="4F853E6A"/>
    <w:rsid w:val="542E6CEC"/>
    <w:rsid w:val="5E3758BF"/>
    <w:rsid w:val="5FBA6038"/>
    <w:rsid w:val="60887590"/>
    <w:rsid w:val="61975014"/>
    <w:rsid w:val="64883CE2"/>
    <w:rsid w:val="64C11FEF"/>
    <w:rsid w:val="66B5194F"/>
    <w:rsid w:val="683E36B5"/>
    <w:rsid w:val="69260ABE"/>
    <w:rsid w:val="6C375A5D"/>
    <w:rsid w:val="6C3B3861"/>
    <w:rsid w:val="6D0C2AB0"/>
    <w:rsid w:val="6D73049F"/>
    <w:rsid w:val="6F4C646A"/>
    <w:rsid w:val="6FE746A6"/>
    <w:rsid w:val="703E65BE"/>
    <w:rsid w:val="77216116"/>
    <w:rsid w:val="77BC07DA"/>
    <w:rsid w:val="79207910"/>
    <w:rsid w:val="7AF83900"/>
    <w:rsid w:val="7BA57ACD"/>
    <w:rsid w:val="7C0618F4"/>
    <w:rsid w:val="7DCE47B6"/>
    <w:rsid w:val="7EF01B4E"/>
    <w:rsid w:val="7F12007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1"/>
    <w:qFormat/>
    <w:uiPriority w:val="99"/>
    <w:pPr>
      <w:spacing w:after="0"/>
    </w:pPr>
    <w:rPr>
      <w:sz w:val="18"/>
      <w:szCs w:val="18"/>
    </w:rPr>
  </w:style>
  <w:style w:type="paragraph" w:styleId="4">
    <w:name w:val="footer"/>
    <w:basedOn w:val="1"/>
    <w:link w:val="12"/>
    <w:qFormat/>
    <w:uiPriority w:val="99"/>
    <w:pPr>
      <w:tabs>
        <w:tab w:val="center" w:pos="4153"/>
        <w:tab w:val="right" w:pos="8306"/>
      </w:tabs>
    </w:pPr>
    <w:rPr>
      <w:sz w:val="18"/>
      <w:szCs w:val="18"/>
    </w:rPr>
  </w:style>
  <w:style w:type="paragraph" w:styleId="5">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99"/>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Date Char"/>
    <w:basedOn w:val="7"/>
    <w:link w:val="2"/>
    <w:semiHidden/>
    <w:qFormat/>
    <w:locked/>
    <w:uiPriority w:val="99"/>
    <w:rPr>
      <w:rFonts w:ascii="Tahoma" w:hAnsi="Tahoma" w:cs="Times New Roman"/>
    </w:rPr>
  </w:style>
  <w:style w:type="character" w:customStyle="1" w:styleId="11">
    <w:name w:val="Balloon Text Char"/>
    <w:basedOn w:val="7"/>
    <w:link w:val="3"/>
    <w:semiHidden/>
    <w:qFormat/>
    <w:locked/>
    <w:uiPriority w:val="99"/>
    <w:rPr>
      <w:rFonts w:ascii="Tahoma" w:hAnsi="Tahoma" w:cs="Times New Roman"/>
      <w:sz w:val="18"/>
      <w:szCs w:val="18"/>
    </w:rPr>
  </w:style>
  <w:style w:type="character" w:customStyle="1" w:styleId="12">
    <w:name w:val="Footer Char"/>
    <w:basedOn w:val="7"/>
    <w:link w:val="4"/>
    <w:qFormat/>
    <w:locked/>
    <w:uiPriority w:val="99"/>
    <w:rPr>
      <w:rFonts w:ascii="Tahoma" w:hAnsi="Tahoma" w:cs="Times New Roman"/>
      <w:sz w:val="18"/>
      <w:szCs w:val="18"/>
    </w:rPr>
  </w:style>
  <w:style w:type="character" w:customStyle="1" w:styleId="13">
    <w:name w:val="Header Char"/>
    <w:basedOn w:val="7"/>
    <w:link w:val="5"/>
    <w:qFormat/>
    <w:locked/>
    <w:uiPriority w:val="99"/>
    <w:rPr>
      <w:rFonts w:ascii="Tahoma" w:hAnsi="Tahoma"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210</Words>
  <Characters>1202</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2018-03-02T08:20:00Z</dcterms:created>
  <dc:creator>win7</dc:creator>
  <cp:lastModifiedBy>Administrator</cp:lastModifiedBy>
  <cp:lastPrinted>2018-03-16T11:49:00Z</cp:lastPrinted>
  <dcterms:modified xsi:type="dcterms:W3CDTF">2018-03-26T08:07:47Z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